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43" w:rsidRPr="00C71CF6" w:rsidRDefault="00030943" w:rsidP="00301B79">
      <w:pPr>
        <w:jc w:val="center"/>
      </w:pPr>
      <w:bookmarkStart w:id="0" w:name="_GoBack"/>
      <w:bookmarkEnd w:id="0"/>
      <w:r w:rsidRPr="00C71CF6">
        <w:t>FRIENDS OF THE BOX-IRONBARK FORESTS (</w:t>
      </w:r>
      <w:proofErr w:type="spellStart"/>
      <w:r w:rsidRPr="00C71CF6">
        <w:t>MountAlexander</w:t>
      </w:r>
      <w:proofErr w:type="spellEnd"/>
      <w:r w:rsidRPr="00C71CF6">
        <w:t xml:space="preserve"> Region) </w:t>
      </w:r>
      <w:proofErr w:type="spellStart"/>
      <w:r w:rsidRPr="00C71CF6">
        <w:t>Inc</w:t>
      </w:r>
      <w:proofErr w:type="spellEnd"/>
    </w:p>
    <w:p w:rsidR="00030943" w:rsidRPr="00C71CF6" w:rsidRDefault="00030943" w:rsidP="00301B79">
      <w:pPr>
        <w:jc w:val="center"/>
      </w:pPr>
      <w:smartTag w:uri="urn:schemas-microsoft-com:office:smarttags" w:element="address">
        <w:smartTag w:uri="urn:schemas-microsoft-com:office:smarttags" w:element="Street">
          <w:r w:rsidRPr="00C71CF6">
            <w:t>PO Box</w:t>
          </w:r>
        </w:smartTag>
        <w:r w:rsidRPr="00C71CF6">
          <w:t xml:space="preserve"> 322</w:t>
        </w:r>
      </w:smartTag>
      <w:r w:rsidRPr="00C71CF6">
        <w:t>, Castlemaine, 3450, Vic.</w:t>
      </w:r>
    </w:p>
    <w:p w:rsidR="00030943" w:rsidRPr="00C71CF6" w:rsidRDefault="00030943" w:rsidP="00301B79"/>
    <w:p w:rsidR="00030943" w:rsidRPr="00C71CF6" w:rsidRDefault="00030943" w:rsidP="00301B79">
      <w:pPr>
        <w:jc w:val="center"/>
        <w:rPr>
          <w:b/>
        </w:rPr>
      </w:pPr>
      <w:r w:rsidRPr="00C71CF6">
        <w:rPr>
          <w:b/>
        </w:rPr>
        <w:t>TARRANVALLEY REZONING ADVISORY COMMITTEE</w:t>
      </w:r>
    </w:p>
    <w:p w:rsidR="00030943" w:rsidRPr="00C71CF6" w:rsidRDefault="00030943" w:rsidP="00301B79">
      <w:pPr>
        <w:jc w:val="center"/>
        <w:rPr>
          <w:b/>
        </w:rPr>
      </w:pPr>
      <w:r w:rsidRPr="00C71CF6">
        <w:rPr>
          <w:b/>
        </w:rPr>
        <w:t>SUBMISSION – PLANNING SCHEME AMENDMENT C36</w:t>
      </w:r>
    </w:p>
    <w:p w:rsidR="00030943" w:rsidRPr="00C71CF6" w:rsidRDefault="00030943" w:rsidP="00371F8C">
      <w:pPr>
        <w:tabs>
          <w:tab w:val="left" w:pos="238"/>
        </w:tabs>
        <w:jc w:val="both"/>
      </w:pPr>
      <w:r w:rsidRPr="00C71CF6">
        <w:t>14</w:t>
      </w:r>
      <w:r w:rsidRPr="00C71CF6">
        <w:rPr>
          <w:vertAlign w:val="superscript"/>
        </w:rPr>
        <w:t>th</w:t>
      </w:r>
      <w:r w:rsidRPr="00C71CF6">
        <w:t xml:space="preserve"> September 2015</w:t>
      </w:r>
    </w:p>
    <w:p w:rsidR="00030943" w:rsidRPr="00C71CF6" w:rsidRDefault="00030943" w:rsidP="00B032E5">
      <w:pPr>
        <w:rPr>
          <w:b/>
        </w:rPr>
      </w:pPr>
    </w:p>
    <w:p w:rsidR="00030943" w:rsidRPr="00C71CF6" w:rsidRDefault="00030943" w:rsidP="00B032E5">
      <w:r w:rsidRPr="00C71CF6">
        <w:t xml:space="preserve">The Friends of the Box-Ironbark Forests (FOBIF) was formed at a public meeting in Castlemaine in November 1998, to campaign for the declaration of a National Park in the box-ironbark forests of Mount Alexander Region. The Friends Group initially concentrated on encouraging public participation in the Environment Conservation Council’s inquiry into the box-ironbark forests.  This inquiry culminated in the declaration of the </w:t>
      </w:r>
      <w:smartTag w:uri="urn:schemas-microsoft-com:office:smarttags" w:element="place">
        <w:smartTag w:uri="urn:schemas-microsoft-com:office:smarttags" w:element="PlaceName">
          <w:r w:rsidRPr="00C71CF6">
            <w:t>Castlemaine</w:t>
          </w:r>
        </w:smartTag>
        <w:r w:rsidRPr="00C71CF6">
          <w:t xml:space="preserve"> </w:t>
        </w:r>
        <w:smartTag w:uri="urn:schemas-microsoft-com:office:smarttags" w:element="PlaceName">
          <w:r w:rsidRPr="00C71CF6">
            <w:t>Diggings</w:t>
          </w:r>
        </w:smartTag>
        <w:r w:rsidRPr="00C71CF6">
          <w:t xml:space="preserve"> </w:t>
        </w:r>
        <w:smartTag w:uri="urn:schemas-microsoft-com:office:smarttags" w:element="PlaceName">
          <w:r w:rsidRPr="00C71CF6">
            <w:t>National</w:t>
          </w:r>
        </w:smartTag>
        <w:r w:rsidRPr="00C71CF6">
          <w:t xml:space="preserve"> </w:t>
        </w:r>
        <w:smartTag w:uri="urn:schemas-microsoft-com:office:smarttags" w:element="PlaceName">
          <w:r w:rsidRPr="00C71CF6">
            <w:t>Heritage</w:t>
          </w:r>
        </w:smartTag>
        <w:r w:rsidRPr="00C71CF6">
          <w:t xml:space="preserve"> </w:t>
        </w:r>
        <w:smartTag w:uri="urn:schemas-microsoft-com:office:smarttags" w:element="PlaceType">
          <w:r w:rsidRPr="00C71CF6">
            <w:t>Park</w:t>
          </w:r>
        </w:smartTag>
      </w:smartTag>
      <w:r w:rsidRPr="00C71CF6">
        <w:t xml:space="preserve"> and many conservation reserves in October 2002.</w:t>
      </w:r>
    </w:p>
    <w:p w:rsidR="00030943" w:rsidRPr="00C71CF6" w:rsidRDefault="00030943" w:rsidP="00B032E5">
      <w:r w:rsidRPr="00C71CF6">
        <w:t>As only 15% of pre-white settlement box-ironbark forests and woodland still exist, FOBIF works to preserve these remnants on both public and private land.  Some of the threats to these forests we have been opposing are inappropriate subdivisions in bushland and poor management practices in parks and reserves.</w:t>
      </w:r>
    </w:p>
    <w:p w:rsidR="00030943" w:rsidRPr="00C71CF6" w:rsidRDefault="00030943" w:rsidP="003B3FA7">
      <w:pPr>
        <w:spacing w:after="0" w:line="240" w:lineRule="auto"/>
        <w:contextualSpacing/>
      </w:pPr>
      <w:r w:rsidRPr="00C71CF6">
        <w:t>The Group promotes a greater appreciation and understanding in the community of the biodiversity of our native forests, and organizes bushwalks, exhibitions, seminars and more recently has been organising activities for children and youths that promote an appreciation of the forests and woodlands of our region.</w:t>
      </w:r>
    </w:p>
    <w:p w:rsidR="00030943" w:rsidRPr="00C71CF6" w:rsidRDefault="00030943" w:rsidP="003B3FA7">
      <w:pPr>
        <w:rPr>
          <w:b/>
        </w:rPr>
      </w:pPr>
    </w:p>
    <w:p w:rsidR="00030943" w:rsidRPr="00C71CF6" w:rsidRDefault="00030943" w:rsidP="003B3FA7">
      <w:pPr>
        <w:rPr>
          <w:b/>
        </w:rPr>
      </w:pPr>
    </w:p>
    <w:p w:rsidR="00030943" w:rsidRPr="00C71CF6" w:rsidRDefault="00030943" w:rsidP="00A8110C">
      <w:pPr>
        <w:jc w:val="both"/>
        <w:rPr>
          <w:b/>
        </w:rPr>
      </w:pPr>
      <w:r w:rsidRPr="00C71CF6">
        <w:rPr>
          <w:b/>
          <w:u w:val="single"/>
        </w:rPr>
        <w:t>Effects of Development on Native Vegetation</w:t>
      </w:r>
    </w:p>
    <w:p w:rsidR="00030943" w:rsidRPr="00C71CF6" w:rsidRDefault="00030943" w:rsidP="00A8110C">
      <w:pPr>
        <w:jc w:val="both"/>
      </w:pPr>
      <w:r w:rsidRPr="00C71CF6">
        <w:t>FOBIF’s concern with this amendment is the direct and indirect effects this large housing development (greater than 40 lots) will have on the box-ironbark forests of the area.</w:t>
      </w:r>
    </w:p>
    <w:p w:rsidR="00030943" w:rsidRPr="00C71CF6" w:rsidRDefault="00030943" w:rsidP="00A8110C">
      <w:pPr>
        <w:jc w:val="both"/>
      </w:pPr>
      <w:r w:rsidRPr="00C71CF6">
        <w:t xml:space="preserve">A major part of this 125ha site contains box-ironbark forest of high and very high conservation significance.  Whilst the Updated Ecological Assessment of March 2014 classifies some of this vegetation as of medium conservation significance, we believe this is in error, as this same Report records evidence of the endangered Brush-Tailed Phascogale on site.  Reference to the Action Statement on the Brush-Tail Phascogale* indicates that all the forest on site would be foraging habitat for the Phascogale and hence must be at least of high conservation significance.  The Action </w:t>
      </w:r>
    </w:p>
    <w:p w:rsidR="00030943" w:rsidRPr="00C71CF6" w:rsidRDefault="00030943" w:rsidP="00A8110C">
      <w:pPr>
        <w:jc w:val="both"/>
      </w:pPr>
    </w:p>
    <w:p w:rsidR="00030943" w:rsidRPr="00C71CF6" w:rsidRDefault="00030943" w:rsidP="00EA7399">
      <w:pPr>
        <w:tabs>
          <w:tab w:val="left" w:pos="238"/>
        </w:tabs>
        <w:jc w:val="both"/>
      </w:pPr>
      <w:r w:rsidRPr="00C71CF6">
        <w:t>*(http://www.depi.vic.gov.au/__data/assets/pdf_file/0005/246479/Brush-tailed_Phascogale_Phascogale_tapoatafa.pdf)</w:t>
      </w:r>
    </w:p>
    <w:p w:rsidR="00030943" w:rsidRPr="00C71CF6" w:rsidRDefault="00030943" w:rsidP="00C71CF6">
      <w:pPr>
        <w:jc w:val="center"/>
      </w:pPr>
      <w:r>
        <w:lastRenderedPageBreak/>
        <w:t>2</w:t>
      </w:r>
    </w:p>
    <w:p w:rsidR="00030943" w:rsidRPr="00C71CF6" w:rsidRDefault="00030943" w:rsidP="00A8110C">
      <w:pPr>
        <w:jc w:val="both"/>
      </w:pPr>
      <w:r w:rsidRPr="00C71CF6">
        <w:t>Statement refers to the animals need for foraging areas of more than 100ha and for their favouring of rough barked trees – both of these requirements are satisfied on this site and hence our conclusion that the forested areas on site are of at least high conservation significance.</w:t>
      </w:r>
    </w:p>
    <w:p w:rsidR="00030943" w:rsidRPr="00C71CF6" w:rsidRDefault="00030943" w:rsidP="00A8110C">
      <w:pPr>
        <w:jc w:val="both"/>
      </w:pPr>
      <w:r w:rsidRPr="00C71CF6">
        <w:t>A significant part of the box-ironbark forest will have to be cleared to make possible the greater than 40 lots proposed.  A much larger area of vegetation will have to be cleared or modified to provide defendable space for the new housing.  In addition there are the fringe effects that follow from any new housing estate being established in a forested area:</w:t>
      </w:r>
    </w:p>
    <w:p w:rsidR="00030943" w:rsidRPr="00C71CF6" w:rsidRDefault="00030943" w:rsidP="00371F8C">
      <w:pPr>
        <w:numPr>
          <w:ilvl w:val="0"/>
          <w:numId w:val="2"/>
        </w:numPr>
        <w:spacing w:after="0" w:line="240" w:lineRule="auto"/>
      </w:pPr>
      <w:r w:rsidRPr="00C71CF6">
        <w:t xml:space="preserve">When the new residents realize the dangerous situation they have been put in, from bushfires – they will exert pressure to have vegetation cleared in the forests in the hope that it will lessen their danger.  This effect will become more pronounced as the bushfire seasons become worse due to climate change*. </w:t>
      </w:r>
    </w:p>
    <w:p w:rsidR="00030943" w:rsidRPr="00C71CF6" w:rsidRDefault="00030943" w:rsidP="00371F8C">
      <w:pPr>
        <w:numPr>
          <w:ilvl w:val="0"/>
          <w:numId w:val="2"/>
        </w:numPr>
        <w:spacing w:after="0" w:line="240" w:lineRule="auto"/>
      </w:pPr>
      <w:r w:rsidRPr="00C71CF6">
        <w:t xml:space="preserve"> Whenever there is a new housing estate established next to forested areas, there is consequent deterioration of the biodiversity of the forest due to increased feral pets, escaped garden plants, trail bike riding, dumping of rubbish, etc.</w:t>
      </w:r>
    </w:p>
    <w:p w:rsidR="00030943" w:rsidRPr="00C71CF6" w:rsidRDefault="00030943" w:rsidP="00726550">
      <w:pPr>
        <w:spacing w:after="0" w:line="240" w:lineRule="auto"/>
        <w:ind w:left="618"/>
      </w:pPr>
    </w:p>
    <w:p w:rsidR="00030943" w:rsidRPr="00C71CF6" w:rsidRDefault="00030943" w:rsidP="00A8110C">
      <w:pPr>
        <w:jc w:val="both"/>
      </w:pPr>
      <w:r w:rsidRPr="00C71CF6">
        <w:t>These fringe effects will impact on the biodiversity values, in the already classified high and very high conservation significant vegetation and into the adjoining Maldon Historical and Cultural Reserve.</w:t>
      </w:r>
    </w:p>
    <w:p w:rsidR="00030943" w:rsidRPr="00C71CF6" w:rsidRDefault="00030943" w:rsidP="00726550">
      <w:pPr>
        <w:jc w:val="both"/>
      </w:pPr>
    </w:p>
    <w:p w:rsidR="00030943" w:rsidRPr="00C71CF6" w:rsidRDefault="00030943" w:rsidP="00726550">
      <w:pPr>
        <w:jc w:val="both"/>
      </w:pPr>
    </w:p>
    <w:p w:rsidR="00030943" w:rsidRPr="00C71CF6" w:rsidRDefault="00030943" w:rsidP="00726550">
      <w:pPr>
        <w:jc w:val="both"/>
        <w:rPr>
          <w:b/>
          <w:u w:val="single"/>
        </w:rPr>
      </w:pPr>
      <w:r w:rsidRPr="00C71CF6">
        <w:rPr>
          <w:b/>
          <w:u w:val="single"/>
        </w:rPr>
        <w:t>The Strategic Basis for this Amendment</w:t>
      </w:r>
    </w:p>
    <w:p w:rsidR="00030943" w:rsidRPr="00C71CF6" w:rsidRDefault="00030943" w:rsidP="00726550">
      <w:pPr>
        <w:jc w:val="both"/>
      </w:pPr>
    </w:p>
    <w:p w:rsidR="00030943" w:rsidRPr="00C71CF6" w:rsidRDefault="00030943" w:rsidP="00726550">
      <w:pPr>
        <w:jc w:val="both"/>
      </w:pPr>
      <w:r w:rsidRPr="00C71CF6">
        <w:t xml:space="preserve">The strategic base for this development was set long ago –  </w:t>
      </w:r>
      <w:r w:rsidRPr="00C71CF6">
        <w:rPr>
          <w:i/>
        </w:rPr>
        <w:t>The Rural Living Strategy</w:t>
      </w:r>
      <w:r w:rsidRPr="00C71CF6">
        <w:t>, 2006 and the C24 Panel Report of 2005**.  There have been dramatic changes in Government policy and its interpretation since then.  The strategic basis for this Amendment needs to be re-assessed because of the following:</w:t>
      </w:r>
    </w:p>
    <w:p w:rsidR="00030943" w:rsidRPr="00C71CF6" w:rsidRDefault="00030943" w:rsidP="00726550">
      <w:pPr>
        <w:jc w:val="both"/>
      </w:pPr>
    </w:p>
    <w:p w:rsidR="00030943" w:rsidRPr="00C71CF6" w:rsidRDefault="00030943" w:rsidP="00726550">
      <w:pPr>
        <w:jc w:val="both"/>
      </w:pPr>
    </w:p>
    <w:p w:rsidR="00030943" w:rsidRPr="00C71CF6" w:rsidRDefault="00030943" w:rsidP="005339DD">
      <w:pPr>
        <w:rPr>
          <w:u w:val="single"/>
        </w:rPr>
      </w:pPr>
      <w:r w:rsidRPr="00C71CF6">
        <w:rPr>
          <w:u w:val="single"/>
        </w:rPr>
        <w:t>New Bushfire Protection Planning Provisions</w:t>
      </w:r>
    </w:p>
    <w:p w:rsidR="00030943" w:rsidRPr="00C71CF6" w:rsidRDefault="00030943" w:rsidP="005339DD">
      <w:r w:rsidRPr="00C71CF6">
        <w:t xml:space="preserve">Although the community raised the issue of the bushfire threat to residential development at </w:t>
      </w:r>
      <w:proofErr w:type="spellStart"/>
      <w:r w:rsidRPr="00C71CF6">
        <w:t>TarranValley</w:t>
      </w:r>
      <w:proofErr w:type="spellEnd"/>
      <w:r w:rsidRPr="00C71CF6">
        <w:t>, the original Panel did not list bushfire safety as an issue.</w:t>
      </w:r>
    </w:p>
    <w:p w:rsidR="00030943" w:rsidRPr="00C71CF6" w:rsidRDefault="00030943" w:rsidP="005339DD">
      <w:pPr>
        <w:jc w:val="both"/>
      </w:pPr>
    </w:p>
    <w:p w:rsidR="00030943" w:rsidRPr="00C71CF6" w:rsidRDefault="00030943" w:rsidP="00EA7399">
      <w:r w:rsidRPr="00C71CF6">
        <w:rPr>
          <w:i/>
        </w:rPr>
        <w:t xml:space="preserve">* Bushfire Weather in </w:t>
      </w:r>
      <w:smartTag w:uri="urn:schemas-microsoft-com:office:smarttags" w:element="place">
        <w:r w:rsidRPr="00C71CF6">
          <w:rPr>
            <w:i/>
          </w:rPr>
          <w:t>Southeast Australia</w:t>
        </w:r>
      </w:smartTag>
      <w:r w:rsidRPr="00C71CF6">
        <w:rPr>
          <w:i/>
        </w:rPr>
        <w:t>: Trends and Projected Climate Change Impacts;</w:t>
      </w:r>
      <w:r w:rsidRPr="00C71CF6">
        <w:t xml:space="preserve"> Lucas, Hennessy, Mills, </w:t>
      </w:r>
      <w:proofErr w:type="spellStart"/>
      <w:r w:rsidRPr="00C71CF6">
        <w:t>Bathols</w:t>
      </w:r>
      <w:proofErr w:type="spellEnd"/>
      <w:r w:rsidRPr="00C71CF6">
        <w:t>, 2007,(</w:t>
      </w:r>
      <w:hyperlink r:id="rId6" w:history="1">
        <w:r w:rsidRPr="00C71CF6">
          <w:rPr>
            <w:rStyle w:val="Hyperlink"/>
          </w:rPr>
          <w:t>www.climateinstitute.org</w:t>
        </w:r>
      </w:hyperlink>
      <w:r w:rsidRPr="00C71CF6">
        <w:t xml:space="preserve">)  </w:t>
      </w:r>
    </w:p>
    <w:p w:rsidR="00030943" w:rsidRPr="00C71CF6" w:rsidRDefault="00030943" w:rsidP="00EA7399">
      <w:pPr>
        <w:jc w:val="both"/>
      </w:pPr>
      <w:r w:rsidRPr="00C71CF6">
        <w:t>**http://dsewebapps.dse.vic.gov.au/Shared/ats.nsf/%28attachmentopen%29/2F224E1B00897CE3CA2570D900071DBA/$File/Mt+Alexander+C24+Panel+Report.pdf?OpenElement</w:t>
      </w:r>
    </w:p>
    <w:p w:rsidR="00030943" w:rsidRDefault="00030943" w:rsidP="00C71CF6">
      <w:pPr>
        <w:jc w:val="center"/>
      </w:pPr>
      <w:r>
        <w:lastRenderedPageBreak/>
        <w:t>3</w:t>
      </w:r>
    </w:p>
    <w:p w:rsidR="00030943" w:rsidRPr="00C71CF6" w:rsidRDefault="00030943" w:rsidP="00E02F50">
      <w:r w:rsidRPr="00C71CF6">
        <w:t>Following the horror of the Black Saturday bushfires there have been major changes in the State Planning Policy Framework (SPPF).  A new Clause 13.05 on bushfire safety follows the recommendations of the Royal Commission and now gives priority in planning to protecting human life over other policy considerations and to applying the precautionary principle to planning in areas at risk from bushfire.</w:t>
      </w:r>
    </w:p>
    <w:p w:rsidR="00030943" w:rsidRPr="00C71CF6" w:rsidRDefault="00030943" w:rsidP="00D017C4">
      <w:pPr>
        <w:rPr>
          <w:b/>
        </w:rPr>
      </w:pPr>
      <w:r w:rsidRPr="00C71CF6">
        <w:rPr>
          <w:b/>
        </w:rPr>
        <w:t>13.05  Bushfires</w:t>
      </w:r>
    </w:p>
    <w:p w:rsidR="00030943" w:rsidRPr="00C71CF6" w:rsidRDefault="00815650" w:rsidP="00D017C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3.25pt;height:106.5pt;visibility:visible">
            <v:imagedata r:id="rId7" o:title=""/>
          </v:shape>
        </w:pict>
      </w:r>
    </w:p>
    <w:p w:rsidR="00030943" w:rsidRPr="00C71CF6" w:rsidRDefault="00030943" w:rsidP="00556B71">
      <w:r w:rsidRPr="00C71CF6">
        <w:rPr>
          <w:b/>
        </w:rPr>
        <w:t>The strategic basis for this rezoning to a rural living zone needs to be re-looked at purely on the basis of this new priority to protecting human life.</w:t>
      </w:r>
      <w:r w:rsidRPr="00C71CF6">
        <w:t xml:space="preserve">  This need for a re-appraisal is amplified by the effects of VC109 introduced in July 2014.</w:t>
      </w:r>
    </w:p>
    <w:p w:rsidR="00030943" w:rsidRPr="00C71CF6" w:rsidRDefault="00030943" w:rsidP="00556B71">
      <w:r w:rsidRPr="00C71CF6">
        <w:t>The New Bushfire Planning Provisions, VC109 (July 2014):</w:t>
      </w:r>
    </w:p>
    <w:p w:rsidR="00030943" w:rsidRPr="00C71CF6" w:rsidRDefault="00030943" w:rsidP="00556B71">
      <w:r w:rsidRPr="00C71CF6">
        <w:t>With VC109 the statutory bushfire provisions in Clause 52.47 have been severely downgraded:</w:t>
      </w:r>
    </w:p>
    <w:p w:rsidR="00030943" w:rsidRPr="00C71CF6" w:rsidRDefault="00030943" w:rsidP="00556B71">
      <w:pPr>
        <w:numPr>
          <w:ilvl w:val="0"/>
          <w:numId w:val="5"/>
        </w:numPr>
        <w:spacing w:after="0" w:line="240" w:lineRule="auto"/>
      </w:pPr>
      <w:r w:rsidRPr="00C71CF6">
        <w:t>Large subdivisions (greater than 10 lots) no longer have to have greater defendable space provided than smaller subdivisions.</w:t>
      </w:r>
    </w:p>
    <w:p w:rsidR="00030943" w:rsidRPr="00C71CF6" w:rsidRDefault="00030943" w:rsidP="00556B71">
      <w:pPr>
        <w:numPr>
          <w:ilvl w:val="0"/>
          <w:numId w:val="5"/>
        </w:numPr>
        <w:spacing w:after="0" w:line="240" w:lineRule="auto"/>
      </w:pPr>
      <w:r w:rsidRPr="00C71CF6">
        <w:t>The CFA is no longer a Determining Authority; it is only a Referencing Authority.</w:t>
      </w:r>
    </w:p>
    <w:p w:rsidR="00030943" w:rsidRPr="00C71CF6" w:rsidRDefault="00030943" w:rsidP="00556B71">
      <w:pPr>
        <w:numPr>
          <w:ilvl w:val="0"/>
          <w:numId w:val="5"/>
        </w:numPr>
        <w:spacing w:after="0" w:line="240" w:lineRule="auto"/>
      </w:pPr>
      <w:r w:rsidRPr="00C71CF6">
        <w:t>The defendable space requirements have been severely reduced.</w:t>
      </w:r>
    </w:p>
    <w:p w:rsidR="00030943" w:rsidRPr="00C71CF6" w:rsidRDefault="00030943" w:rsidP="00556B71"/>
    <w:p w:rsidR="00030943" w:rsidRPr="00C71CF6" w:rsidRDefault="00030943" w:rsidP="00556B71">
      <w:r w:rsidRPr="00C71CF6">
        <w:t>The effect on defendable space requirements has been dramatic, for example, with woodland on a 0 to 5 degree downslope and a BAL19 building construction standard, the defendable space required is 29m.</w:t>
      </w:r>
    </w:p>
    <w:p w:rsidR="00030943" w:rsidRPr="00C71CF6" w:rsidRDefault="00030943" w:rsidP="00556B71">
      <w:r w:rsidRPr="00C71CF6">
        <w:t>Prior to VC109 the defendable space required was 45m.</w:t>
      </w:r>
    </w:p>
    <w:p w:rsidR="00030943" w:rsidRPr="00C71CF6" w:rsidRDefault="00030943" w:rsidP="00556B71">
      <w:r w:rsidRPr="00C71CF6">
        <w:t>Similar downgrading of defendable space requirements occur for all slope and vegetation groups in Clause 52.47.</w:t>
      </w:r>
    </w:p>
    <w:p w:rsidR="00030943" w:rsidRPr="00C71CF6" w:rsidRDefault="00030943" w:rsidP="00556B71">
      <w:r w:rsidRPr="00C71CF6">
        <w:t xml:space="preserve">The technical basis for the defendable space requirements used prior to VC109 is in </w:t>
      </w:r>
      <w:r w:rsidRPr="00C71CF6">
        <w:rPr>
          <w:i/>
        </w:rPr>
        <w:t xml:space="preserve">Advisory Note 44 Defendable space in the Bushfire Management Overlay (Feb 2012).  </w:t>
      </w:r>
      <w:r w:rsidRPr="00C71CF6">
        <w:t xml:space="preserve">Here the CFA note that the bushfire situation in </w:t>
      </w:r>
      <w:smartTag w:uri="urn:schemas-microsoft-com:office:smarttags" w:element="place">
        <w:smartTag w:uri="urn:schemas-microsoft-com:office:smarttags" w:element="State">
          <w:r w:rsidRPr="00C71CF6">
            <w:t>Victoria</w:t>
          </w:r>
        </w:smartTag>
      </w:smartTag>
      <w:r w:rsidRPr="00C71CF6">
        <w:t xml:space="preserve"> is amongst the worst in the world and hence the worst case scenario has to be used.  The CFA have used in their analysis the conditions present on Ash Wednesday i.e. a Fire Danger Index (FDI) of 120 and a Flame Temperature of 1200K.  The fire weather on Black Saturday was far worse than on Ash Wednesday.  Future Black Saturdays could be worse again due to climate change.</w:t>
      </w:r>
    </w:p>
    <w:p w:rsidR="00030943" w:rsidRDefault="00030943" w:rsidP="00C71CF6">
      <w:pPr>
        <w:jc w:val="center"/>
      </w:pPr>
      <w:r>
        <w:lastRenderedPageBreak/>
        <w:t>4</w:t>
      </w:r>
    </w:p>
    <w:p w:rsidR="00030943" w:rsidRPr="00C71CF6" w:rsidRDefault="00030943" w:rsidP="00556B71">
      <w:r w:rsidRPr="00C71CF6">
        <w:t xml:space="preserve">With VC109 the milder bushfire conditions of a FDI of 100 and a Flame Temperature of 1090K are used with the Australian Standard AS3959 to give the greatly reduced defendable space requirements.  This is in no way a precautionary approach to bushfire protection and giving priority to protecting human life.  VC109 was presumably done to give priority to economic development in areas already zoned residential.  </w:t>
      </w:r>
    </w:p>
    <w:p w:rsidR="00030943" w:rsidRPr="00C71CF6" w:rsidRDefault="00030943" w:rsidP="00556B71">
      <w:r w:rsidRPr="00C71CF6">
        <w:rPr>
          <w:b/>
        </w:rPr>
        <w:t>If priority is to be given to the protection of human life over other policy considerations in planning then there must be a thorough strategic planning effort to find areas of low bushfire risk for rezoning to residential use.</w:t>
      </w:r>
      <w:r w:rsidRPr="00C71CF6">
        <w:t xml:space="preserve">   </w:t>
      </w:r>
    </w:p>
    <w:p w:rsidR="00030943" w:rsidRPr="00C71CF6" w:rsidRDefault="00030943" w:rsidP="00556B71"/>
    <w:p w:rsidR="00030943" w:rsidRPr="00C71CF6" w:rsidRDefault="00030943" w:rsidP="00556B71"/>
    <w:p w:rsidR="00030943" w:rsidRPr="00C71CF6" w:rsidRDefault="00030943" w:rsidP="00556B71">
      <w:pPr>
        <w:rPr>
          <w:u w:val="single"/>
        </w:rPr>
      </w:pPr>
      <w:r w:rsidRPr="00C71CF6">
        <w:rPr>
          <w:u w:val="single"/>
        </w:rPr>
        <w:t>Development in Open Potable Water Catchments</w:t>
      </w:r>
    </w:p>
    <w:p w:rsidR="00030943" w:rsidRPr="00C71CF6" w:rsidRDefault="00030943" w:rsidP="00556B71">
      <w:r w:rsidRPr="00C71CF6">
        <w:t>This development is positioned on a major waterway to the Cairn Curran Reservoir and is in the Special Water Supply (SWS) Catchment for the Cairn Curran and Laanecoorie Reservoirs.</w:t>
      </w:r>
    </w:p>
    <w:p w:rsidR="00030943" w:rsidRPr="00C71CF6" w:rsidRDefault="00030943" w:rsidP="00556B71">
      <w:r w:rsidRPr="00C71CF6">
        <w:t>Recent Supreme Court rulings and VCAT decisions* have re-</w:t>
      </w:r>
      <w:proofErr w:type="spellStart"/>
      <w:r w:rsidRPr="00C71CF6">
        <w:t>inforced</w:t>
      </w:r>
      <w:proofErr w:type="spellEnd"/>
      <w:r w:rsidRPr="00C71CF6">
        <w:t xml:space="preserve"> the need for the precautionary principle to be applied to developments in SWS Catchments and that the </w:t>
      </w:r>
      <w:r w:rsidRPr="00C71CF6">
        <w:rPr>
          <w:i/>
        </w:rPr>
        <w:t xml:space="preserve">Guidelines for Planning Permit Applications in Open Potable Water Supply Catchment Areas, </w:t>
      </w:r>
      <w:r w:rsidRPr="00C71CF6">
        <w:t>November 2012  need to be applied.  In this Amendment, Guideline 1 is relevant and needs to be complied with:</w:t>
      </w:r>
    </w:p>
    <w:p w:rsidR="00030943" w:rsidRPr="00C71CF6" w:rsidRDefault="00030943" w:rsidP="00556B71">
      <w:r w:rsidRPr="00C71CF6">
        <w:rPr>
          <w:i/>
        </w:rPr>
        <w:t>“each lot created in the subdivision should be at least 40 hectares in area.”</w:t>
      </w:r>
      <w:r w:rsidRPr="00C71CF6">
        <w:t xml:space="preserve">  </w:t>
      </w:r>
    </w:p>
    <w:p w:rsidR="00030943" w:rsidRPr="00C71CF6" w:rsidRDefault="00030943" w:rsidP="00556B71">
      <w:r w:rsidRPr="00C71CF6">
        <w:t>The exemptions to this guideline don’t apply in Mount Alexander Shire as there is no Domestic Wastewater Management Plan  that has been accepted, implemented and audited, refer Mount Alexander Shire Council Meeting Minutes 25 August 2015 , page 42 .</w:t>
      </w:r>
    </w:p>
    <w:p w:rsidR="00030943" w:rsidRPr="00C71CF6" w:rsidRDefault="00030943" w:rsidP="00F833D1">
      <w:pPr>
        <w:rPr>
          <w:b/>
        </w:rPr>
      </w:pPr>
      <w:r w:rsidRPr="00C71CF6">
        <w:rPr>
          <w:b/>
        </w:rPr>
        <w:t>To comply with the Supreme Court and VCAT decisions, this development would need to be a 3 lot subdivision (for the lots to be 40ha), not a greater than 40 lot development.</w:t>
      </w:r>
    </w:p>
    <w:p w:rsidR="00030943" w:rsidRPr="00C71CF6" w:rsidRDefault="00030943" w:rsidP="00F833D1"/>
    <w:p w:rsidR="00030943" w:rsidRPr="00C71CF6" w:rsidRDefault="00030943" w:rsidP="00204178">
      <w:pPr>
        <w:pStyle w:val="Heading2"/>
        <w:rPr>
          <w:rFonts w:ascii="Calibri" w:hAnsi="Calibri"/>
          <w:sz w:val="22"/>
          <w:szCs w:val="22"/>
        </w:rPr>
      </w:pPr>
    </w:p>
    <w:p w:rsidR="00030943" w:rsidRPr="00C71CF6" w:rsidRDefault="00030943" w:rsidP="00204178">
      <w:pPr>
        <w:pStyle w:val="Heading2"/>
        <w:rPr>
          <w:rFonts w:ascii="Calibri" w:hAnsi="Calibri"/>
          <w:sz w:val="22"/>
          <w:szCs w:val="22"/>
        </w:rPr>
      </w:pPr>
    </w:p>
    <w:p w:rsidR="00030943" w:rsidRPr="00C71CF6" w:rsidRDefault="00030943" w:rsidP="00204178">
      <w:pPr>
        <w:pStyle w:val="Heading2"/>
        <w:rPr>
          <w:rFonts w:ascii="Calibri" w:hAnsi="Calibri"/>
          <w:sz w:val="22"/>
          <w:szCs w:val="22"/>
        </w:rPr>
      </w:pPr>
      <w:r w:rsidRPr="00C71CF6">
        <w:rPr>
          <w:rFonts w:ascii="Calibri" w:hAnsi="Calibri"/>
          <w:sz w:val="22"/>
          <w:szCs w:val="22"/>
        </w:rPr>
        <w:t xml:space="preserve">*Western Water v </w:t>
      </w:r>
      <w:proofErr w:type="spellStart"/>
      <w:r w:rsidRPr="00C71CF6">
        <w:rPr>
          <w:rFonts w:ascii="Calibri" w:hAnsi="Calibri"/>
          <w:sz w:val="22"/>
          <w:szCs w:val="22"/>
        </w:rPr>
        <w:t>Rozen</w:t>
      </w:r>
      <w:proofErr w:type="spellEnd"/>
      <w:r w:rsidRPr="00C71CF6">
        <w:rPr>
          <w:rFonts w:ascii="Calibri" w:hAnsi="Calibri"/>
          <w:sz w:val="22"/>
          <w:szCs w:val="22"/>
        </w:rPr>
        <w:t>&amp; Anor [2008] VSC 382 (29 September 2008)</w:t>
      </w:r>
    </w:p>
    <w:p w:rsidR="00030943" w:rsidRPr="00C71CF6" w:rsidRDefault="00030943" w:rsidP="00204178">
      <w:pPr>
        <w:pStyle w:val="Heading2"/>
        <w:rPr>
          <w:rFonts w:ascii="Calibri" w:hAnsi="Calibri"/>
          <w:sz w:val="22"/>
          <w:szCs w:val="22"/>
        </w:rPr>
      </w:pPr>
      <w:proofErr w:type="spellStart"/>
      <w:r w:rsidRPr="00C71CF6">
        <w:rPr>
          <w:rFonts w:ascii="Calibri" w:hAnsi="Calibri"/>
          <w:sz w:val="22"/>
          <w:szCs w:val="22"/>
        </w:rPr>
        <w:t>Rozen</w:t>
      </w:r>
      <w:proofErr w:type="spellEnd"/>
      <w:r w:rsidRPr="00C71CF6">
        <w:rPr>
          <w:rFonts w:ascii="Calibri" w:hAnsi="Calibri"/>
          <w:sz w:val="22"/>
          <w:szCs w:val="22"/>
        </w:rPr>
        <w:t xml:space="preserve"> v Macedon Ranges SC (includes Summary) (Red Dot) [2009] VCAT 2746 (23  December 2009) </w:t>
      </w:r>
    </w:p>
    <w:p w:rsidR="00030943" w:rsidRPr="00C71CF6" w:rsidRDefault="00030943" w:rsidP="003F1837">
      <w:pPr>
        <w:pStyle w:val="Heading2"/>
        <w:rPr>
          <w:rFonts w:ascii="Calibri" w:hAnsi="Calibri"/>
          <w:sz w:val="22"/>
          <w:szCs w:val="22"/>
        </w:rPr>
      </w:pPr>
      <w:r w:rsidRPr="00C71CF6">
        <w:rPr>
          <w:rFonts w:ascii="Calibri" w:hAnsi="Calibri"/>
          <w:sz w:val="22"/>
          <w:szCs w:val="22"/>
        </w:rPr>
        <w:t xml:space="preserve">Bakes v Mount Alexander SC &amp; </w:t>
      </w:r>
      <w:proofErr w:type="spellStart"/>
      <w:r w:rsidRPr="00C71CF6">
        <w:rPr>
          <w:rFonts w:ascii="Calibri" w:hAnsi="Calibri"/>
          <w:sz w:val="22"/>
          <w:szCs w:val="22"/>
        </w:rPr>
        <w:t>Ors</w:t>
      </w:r>
      <w:proofErr w:type="spellEnd"/>
      <w:r w:rsidRPr="00C71CF6">
        <w:rPr>
          <w:rFonts w:ascii="Calibri" w:hAnsi="Calibri"/>
          <w:sz w:val="22"/>
          <w:szCs w:val="22"/>
        </w:rPr>
        <w:t xml:space="preserve"> [2010] VCAT 1416 (24 August 2010)</w:t>
      </w:r>
    </w:p>
    <w:p w:rsidR="00030943" w:rsidRPr="00C71CF6" w:rsidRDefault="00030943" w:rsidP="003F1837">
      <w:pPr>
        <w:pStyle w:val="Heading2"/>
        <w:rPr>
          <w:rFonts w:ascii="Calibri" w:hAnsi="Calibri"/>
          <w:sz w:val="22"/>
          <w:szCs w:val="22"/>
        </w:rPr>
      </w:pPr>
      <w:r w:rsidRPr="00C71CF6">
        <w:rPr>
          <w:rFonts w:ascii="Calibri" w:hAnsi="Calibri"/>
          <w:sz w:val="22"/>
          <w:szCs w:val="22"/>
        </w:rPr>
        <w:t>Simpson v Ballarat CC [2011] VCAT 1859 (26 September 2011)</w:t>
      </w:r>
    </w:p>
    <w:p w:rsidR="00030943" w:rsidRPr="00C71CF6" w:rsidRDefault="00030943" w:rsidP="00F833D1">
      <w:pPr>
        <w:pStyle w:val="Heading2"/>
        <w:rPr>
          <w:rFonts w:ascii="Calibri" w:hAnsi="Calibri"/>
          <w:sz w:val="22"/>
          <w:szCs w:val="22"/>
        </w:rPr>
      </w:pPr>
      <w:r w:rsidRPr="00C71CF6">
        <w:rPr>
          <w:rFonts w:ascii="Calibri" w:hAnsi="Calibri"/>
          <w:sz w:val="22"/>
          <w:szCs w:val="22"/>
        </w:rPr>
        <w:t xml:space="preserve">White v Hepburn SC [2015] VCAT 6 (7 January 2015) </w:t>
      </w:r>
    </w:p>
    <w:p w:rsidR="00030943" w:rsidRPr="00C71CF6" w:rsidRDefault="00030943" w:rsidP="00C71CF6">
      <w:pPr>
        <w:jc w:val="center"/>
      </w:pPr>
      <w:r>
        <w:lastRenderedPageBreak/>
        <w:t>5</w:t>
      </w:r>
    </w:p>
    <w:p w:rsidR="00030943" w:rsidRPr="00C71CF6" w:rsidRDefault="00030943" w:rsidP="001908DB">
      <w:pPr>
        <w:jc w:val="both"/>
        <w:rPr>
          <w:u w:val="single"/>
        </w:rPr>
      </w:pPr>
      <w:r w:rsidRPr="00C71CF6">
        <w:rPr>
          <w:u w:val="single"/>
        </w:rPr>
        <w:t>Population Projections used in Strategic Assessment</w:t>
      </w:r>
    </w:p>
    <w:p w:rsidR="00030943" w:rsidRPr="00C71CF6" w:rsidRDefault="00030943" w:rsidP="00E5629D">
      <w:r w:rsidRPr="00C71CF6">
        <w:t>The strategic basis for this development was made in the C24 Amendment process.  The C24 Panel in 2005 found that the Council was using an incorrect methodology for population projections and housing demand.  The Panel said (p28):</w:t>
      </w:r>
    </w:p>
    <w:p w:rsidR="00030943" w:rsidRPr="00C71CF6" w:rsidRDefault="00030943" w:rsidP="00E5629D">
      <w:pPr>
        <w:rPr>
          <w:i/>
        </w:rPr>
      </w:pPr>
      <w:r w:rsidRPr="00C71CF6">
        <w:rPr>
          <w:i/>
        </w:rPr>
        <w:t>The Panel strongly disagrees with the adopted method of population projection using an historical average of lots created in subdivisions and projected household size as the indicator of future housing demand and population levels.</w:t>
      </w:r>
    </w:p>
    <w:p w:rsidR="00030943" w:rsidRPr="00C71CF6" w:rsidRDefault="00030943" w:rsidP="00E5629D">
      <w:r w:rsidRPr="00C71CF6">
        <w:t>And the Panel recommendations were (p 122):</w:t>
      </w:r>
    </w:p>
    <w:p w:rsidR="00030943" w:rsidRPr="00C71CF6" w:rsidRDefault="00815650" w:rsidP="00E5629D">
      <w:r>
        <w:rPr>
          <w:noProof/>
        </w:rPr>
        <w:pict>
          <v:shape id="Picture 3" o:spid="_x0000_i1026" type="#_x0000_t75" style="width:413.25pt;height:33.75pt;visibility:visible">
            <v:imagedata r:id="rId8" o:title=""/>
          </v:shape>
        </w:pict>
      </w:r>
    </w:p>
    <w:p w:rsidR="00030943" w:rsidRPr="00C71CF6" w:rsidRDefault="00815650" w:rsidP="00E5629D">
      <w:r>
        <w:rPr>
          <w:noProof/>
        </w:rPr>
        <w:pict>
          <v:shape id="Picture 2" o:spid="_x0000_i1027" type="#_x0000_t75" style="width:411.75pt;height:88.5pt;visibility:visible">
            <v:imagedata r:id="rId9" o:title=""/>
          </v:shape>
        </w:pict>
      </w:r>
    </w:p>
    <w:p w:rsidR="00030943" w:rsidRPr="00C71CF6" w:rsidRDefault="00030943" w:rsidP="00E5629D">
      <w:r w:rsidRPr="00C71CF6">
        <w:t>And the Panel recommendation on the population estimates on Plan 2, Clause 21.03 was (p116):</w:t>
      </w:r>
    </w:p>
    <w:p w:rsidR="00030943" w:rsidRPr="00C71CF6" w:rsidRDefault="00815650" w:rsidP="00E5629D">
      <w:r>
        <w:rPr>
          <w:noProof/>
        </w:rPr>
        <w:pict>
          <v:shape id="_x0000_i1028" type="#_x0000_t75" style="width:413.25pt;height:42pt;visibility:visible">
            <v:imagedata r:id="rId10" o:title=""/>
          </v:shape>
        </w:pict>
      </w:r>
    </w:p>
    <w:p w:rsidR="00030943" w:rsidRPr="00C71CF6" w:rsidRDefault="00030943" w:rsidP="00E5629D">
      <w:r w:rsidRPr="00C71CF6">
        <w:t>The Council never removed the faulty figures from Plan 2.</w:t>
      </w:r>
    </w:p>
    <w:p w:rsidR="00030943" w:rsidRPr="00C71CF6" w:rsidRDefault="00030943" w:rsidP="00E5629D">
      <w:r w:rsidRPr="00C71CF6">
        <w:t>The flawed population estimates and housing demand projections have been used by the Council since 2005 for its strategic planning, including for this development.  The flawed projections used a 1.54% growth rate over 20 years (2001-2021).</w:t>
      </w:r>
    </w:p>
    <w:p w:rsidR="00030943" w:rsidRPr="00C71CF6" w:rsidRDefault="00030943" w:rsidP="00CA13D0">
      <w:r w:rsidRPr="00C71CF6">
        <w:t xml:space="preserve">The attached graph shows the actual population of Mount Alexander Shire as estimated by the ABS up to June 2013, followed by the population projections published in </w:t>
      </w:r>
      <w:r w:rsidRPr="00C71CF6">
        <w:rPr>
          <w:i/>
        </w:rPr>
        <w:t xml:space="preserve">Victoria In Future, 2015 </w:t>
      </w:r>
      <w:r w:rsidRPr="00C71CF6">
        <w:t xml:space="preserve">up to June 2031.  Also graphed are the population projections from the </w:t>
      </w:r>
      <w:r w:rsidRPr="00C71CF6">
        <w:rPr>
          <w:i/>
        </w:rPr>
        <w:t>Mount Alexander Urban Living Strategy</w:t>
      </w:r>
      <w:r w:rsidRPr="00C71CF6">
        <w:t xml:space="preserve">, October 2004 (MAULS) and the </w:t>
      </w:r>
      <w:r w:rsidRPr="00C71CF6">
        <w:rPr>
          <w:i/>
        </w:rPr>
        <w:t>Residential Land Demand and Supply Analysis</w:t>
      </w:r>
      <w:r w:rsidRPr="00C71CF6">
        <w:t>, September 2010 (RLD&amp;SA).</w:t>
      </w:r>
    </w:p>
    <w:p w:rsidR="00030943" w:rsidRPr="00C71CF6" w:rsidRDefault="00030943" w:rsidP="00CA13D0">
      <w:r w:rsidRPr="00C71CF6">
        <w:t>The graphs show that the above two strategic documents used unrealistically high growth rates for population projections.  For example, the MAULS document has a population projection for 2021 of 21,930, compared with the more realistic population projection of 19,291 from the VIF study.  The MAULS analysis thus over estimates the population, in comparison to VIF, by 2,639 which translates to an over estimation in housing lots needed at this date of over 1,000 lots.</w:t>
      </w:r>
    </w:p>
    <w:p w:rsidR="00030943" w:rsidRPr="00C71CF6" w:rsidRDefault="00030943" w:rsidP="00CA13D0"/>
    <w:p w:rsidR="00030943" w:rsidRDefault="00030943" w:rsidP="00C71CF6">
      <w:pPr>
        <w:jc w:val="center"/>
      </w:pPr>
      <w:r>
        <w:lastRenderedPageBreak/>
        <w:t>6</w:t>
      </w:r>
    </w:p>
    <w:p w:rsidR="00030943" w:rsidRPr="00C71CF6" w:rsidRDefault="00030943" w:rsidP="00CA13D0">
      <w:r w:rsidRPr="00C71CF6">
        <w:t xml:space="preserve">Similarly the RLD&amp;SA document has a population projection of 22,806 by June 2026, whereas VIF projects a population of 20,255.  This translates to an over estimation of 2,551 compared to the VIF projections and an </w:t>
      </w:r>
      <w:proofErr w:type="spellStart"/>
      <w:r w:rsidRPr="00C71CF6">
        <w:t>over supply</w:t>
      </w:r>
      <w:proofErr w:type="spellEnd"/>
      <w:r w:rsidRPr="00C71CF6">
        <w:t xml:space="preserve"> of over 1,000 housing lots at this date compared to the VIF projections.</w:t>
      </w:r>
    </w:p>
    <w:p w:rsidR="00030943" w:rsidRPr="00C71CF6" w:rsidRDefault="00030943" w:rsidP="001908DB">
      <w:pPr>
        <w:jc w:val="both"/>
        <w:rPr>
          <w:b/>
        </w:rPr>
      </w:pPr>
      <w:r w:rsidRPr="00C71CF6">
        <w:rPr>
          <w:b/>
        </w:rPr>
        <w:t>The graph shows that the Council has been using exaggerated population projections compared to the actual population growth in its strategic planning for the last 10 years, so the justification for this development is questionable.</w:t>
      </w:r>
    </w:p>
    <w:p w:rsidR="00030943" w:rsidRPr="00C71CF6" w:rsidRDefault="00030943" w:rsidP="00383980">
      <w:pPr>
        <w:jc w:val="both"/>
      </w:pPr>
    </w:p>
    <w:p w:rsidR="00030943" w:rsidRPr="00C71CF6" w:rsidRDefault="00030943" w:rsidP="00383980">
      <w:pPr>
        <w:jc w:val="both"/>
      </w:pPr>
    </w:p>
    <w:p w:rsidR="00030943" w:rsidRPr="00C71CF6" w:rsidRDefault="00030943" w:rsidP="00383980">
      <w:pPr>
        <w:jc w:val="both"/>
        <w:rPr>
          <w:u w:val="single"/>
        </w:rPr>
      </w:pPr>
      <w:r w:rsidRPr="00C71CF6">
        <w:rPr>
          <w:i/>
          <w:u w:val="single"/>
        </w:rPr>
        <w:t>Mount Alexander Rural Land Study</w:t>
      </w:r>
      <w:r w:rsidRPr="00C71CF6">
        <w:rPr>
          <w:u w:val="single"/>
        </w:rPr>
        <w:t>, 2014*</w:t>
      </w:r>
    </w:p>
    <w:p w:rsidR="00030943" w:rsidRPr="00C71CF6" w:rsidRDefault="00030943" w:rsidP="00383980">
      <w:r w:rsidRPr="00C71CF6">
        <w:t xml:space="preserve">Since the strategic work for this rural living zone proposal was done the </w:t>
      </w:r>
      <w:r w:rsidRPr="00C71CF6">
        <w:rPr>
          <w:i/>
        </w:rPr>
        <w:t>Mount Alexander Rural Land Study</w:t>
      </w:r>
      <w:r w:rsidRPr="00C71CF6">
        <w:t>, 2014 has been completed and adopted by Council.  This Study was also a major import of information into the Amendment C61 Panel Report that has been accepted by Council and is waiting for Ministerial approval.</w:t>
      </w:r>
    </w:p>
    <w:p w:rsidR="00030943" w:rsidRPr="00C71CF6" w:rsidRDefault="00030943" w:rsidP="00383980">
      <w:r w:rsidRPr="00C71CF6">
        <w:t xml:space="preserve">On the question of the </w:t>
      </w:r>
      <w:proofErr w:type="spellStart"/>
      <w:r w:rsidRPr="00C71CF6">
        <w:t>Tarran</w:t>
      </w:r>
      <w:proofErr w:type="spellEnd"/>
      <w:r w:rsidRPr="00C71CF6">
        <w:t xml:space="preserve"> Valley rural living development, the Study (page 80) says:</w:t>
      </w:r>
    </w:p>
    <w:p w:rsidR="00030943" w:rsidRPr="00C71CF6" w:rsidRDefault="00030943" w:rsidP="00830B2B">
      <w:pPr>
        <w:autoSpaceDE w:val="0"/>
        <w:autoSpaceDN w:val="0"/>
        <w:adjustRightInd w:val="0"/>
        <w:spacing w:after="0" w:line="240" w:lineRule="auto"/>
        <w:rPr>
          <w:i/>
        </w:rPr>
      </w:pPr>
      <w:r w:rsidRPr="00C71CF6">
        <w:rPr>
          <w:rFonts w:cs="Helvetica"/>
          <w:i/>
        </w:rPr>
        <w:t>However, recommendations for the nominated sites</w:t>
      </w:r>
      <w:r w:rsidRPr="00C71CF6">
        <w:rPr>
          <w:rFonts w:cs="Helvetica"/>
        </w:rPr>
        <w:t xml:space="preserve"> (which include </w:t>
      </w:r>
      <w:proofErr w:type="spellStart"/>
      <w:r w:rsidRPr="00C71CF6">
        <w:rPr>
          <w:rFonts w:cs="Helvetica"/>
        </w:rPr>
        <w:t>Tarran</w:t>
      </w:r>
      <w:proofErr w:type="spellEnd"/>
      <w:r w:rsidRPr="00C71CF6">
        <w:rPr>
          <w:rFonts w:cs="Helvetica"/>
        </w:rPr>
        <w:t xml:space="preserve"> Valley)</w:t>
      </w:r>
      <w:r w:rsidRPr="00C71CF6">
        <w:rPr>
          <w:rFonts w:cs="Helvetica"/>
          <w:i/>
        </w:rPr>
        <w:t xml:space="preserve"> are now considered out-dated and inappropriate given the chain of events and changes to policy that have occurred since 2006, and particularly relating to water supply protection, bushfire safety, and biodiversity management. The strategy’s encouragement for rural living development in areas with extensive vegetation cover (which generally couples with poor agricultural land quality), or directly adjoining such areas, is now problematic. This direction is now complicated by the apparent conflict between this and heightened concern relating to fire hazard and water quality risk.</w:t>
      </w:r>
    </w:p>
    <w:p w:rsidR="00030943" w:rsidRPr="00C71CF6" w:rsidRDefault="00030943" w:rsidP="00383980"/>
    <w:p w:rsidR="00030943" w:rsidRPr="00C71CF6" w:rsidRDefault="00030943" w:rsidP="00383980">
      <w:r w:rsidRPr="00C71CF6">
        <w:t>The Rural Land Study also made the recommendation:</w:t>
      </w:r>
    </w:p>
    <w:p w:rsidR="00030943" w:rsidRPr="00C71CF6" w:rsidRDefault="00030943" w:rsidP="008A017A">
      <w:pPr>
        <w:autoSpaceDE w:val="0"/>
        <w:autoSpaceDN w:val="0"/>
        <w:adjustRightInd w:val="0"/>
        <w:spacing w:after="0" w:line="240" w:lineRule="auto"/>
        <w:rPr>
          <w:i/>
        </w:rPr>
      </w:pPr>
      <w:r w:rsidRPr="00C71CF6">
        <w:rPr>
          <w:rFonts w:cs="Helvetica"/>
          <w:i/>
        </w:rPr>
        <w:t xml:space="preserve">Further detailed work occur to develop additional sites for future investigation for rezoning to the Rural Living Zone in recognition that emergent government policy since the preparation of the 2006 </w:t>
      </w:r>
      <w:r w:rsidRPr="00C71CF6">
        <w:rPr>
          <w:rFonts w:cs="Helvetica-Oblique"/>
          <w:i/>
          <w:iCs/>
        </w:rPr>
        <w:t xml:space="preserve">Rural Living Strategy </w:t>
      </w:r>
      <w:r w:rsidRPr="00C71CF6">
        <w:rPr>
          <w:rFonts w:cs="Helvetica"/>
          <w:i/>
        </w:rPr>
        <w:t>and pertaining particularly to bushfire hazard and water quality in potable water supply catchments has ‘changed the goal posts’ for rural living development, including the rezoning of land.</w:t>
      </w:r>
    </w:p>
    <w:p w:rsidR="00030943" w:rsidRPr="00C71CF6" w:rsidRDefault="00030943" w:rsidP="00383980"/>
    <w:p w:rsidR="00030943" w:rsidRPr="00C71CF6" w:rsidRDefault="00030943" w:rsidP="00383980"/>
    <w:p w:rsidR="00030943" w:rsidRPr="00C71CF6" w:rsidRDefault="00030943" w:rsidP="00383980"/>
    <w:p w:rsidR="00030943" w:rsidRPr="00C71CF6" w:rsidRDefault="00030943" w:rsidP="00383980"/>
    <w:p w:rsidR="00030943" w:rsidRPr="00C71CF6" w:rsidRDefault="00030943" w:rsidP="00383980"/>
    <w:p w:rsidR="00030943" w:rsidRPr="00C71CF6" w:rsidRDefault="00030943" w:rsidP="00726550">
      <w:pPr>
        <w:jc w:val="both"/>
      </w:pPr>
      <w:r w:rsidRPr="00C71CF6">
        <w:t>*</w:t>
      </w:r>
      <w:hyperlink r:id="rId11" w:history="1">
        <w:r w:rsidRPr="00C71CF6">
          <w:rPr>
            <w:rStyle w:val="Hyperlink"/>
          </w:rPr>
          <w:t>https://www.mountalexander.vic.gov.au/Files/Planning/final_Rural_Land_Study_-_Jan_2014.pdf</w:t>
        </w:r>
      </w:hyperlink>
    </w:p>
    <w:p w:rsidR="00030943" w:rsidRPr="004E08AE" w:rsidRDefault="00030943" w:rsidP="00C71CF6">
      <w:pPr>
        <w:jc w:val="center"/>
      </w:pPr>
      <w:r w:rsidRPr="004E08AE">
        <w:lastRenderedPageBreak/>
        <w:t>7</w:t>
      </w:r>
    </w:p>
    <w:p w:rsidR="00030943" w:rsidRPr="00C71CF6" w:rsidRDefault="00030943" w:rsidP="00726550">
      <w:pPr>
        <w:jc w:val="both"/>
        <w:rPr>
          <w:b/>
          <w:u w:val="single"/>
        </w:rPr>
      </w:pPr>
      <w:r w:rsidRPr="00C71CF6">
        <w:rPr>
          <w:b/>
          <w:u w:val="single"/>
        </w:rPr>
        <w:t>Conclusion</w:t>
      </w:r>
    </w:p>
    <w:p w:rsidR="00030943" w:rsidRPr="00C71CF6" w:rsidRDefault="00030943" w:rsidP="00726550">
      <w:pPr>
        <w:jc w:val="both"/>
      </w:pPr>
      <w:r w:rsidRPr="00C71CF6">
        <w:t xml:space="preserve">Whilst we recognise there is some already cleared land on this site which is sufficiently clear of forested areas, the number of lots that could be found (perhaps 3) to conform to the restrictions detailed above, is severely limited.  It would be better to adopt the recommendation offered by the 2014 Rural Land Study and look for more appropriate Rural Living Zone areas.  </w:t>
      </w:r>
    </w:p>
    <w:p w:rsidR="00030943" w:rsidRPr="00C71CF6" w:rsidRDefault="00030943" w:rsidP="00726550">
      <w:pPr>
        <w:jc w:val="both"/>
      </w:pPr>
    </w:p>
    <w:p w:rsidR="00030943" w:rsidRPr="00C71CF6" w:rsidRDefault="00030943" w:rsidP="00A8110C">
      <w:pPr>
        <w:jc w:val="both"/>
      </w:pPr>
      <w:r w:rsidRPr="00C71CF6">
        <w:t>Yours faithfully,</w:t>
      </w:r>
    </w:p>
    <w:p w:rsidR="00030943" w:rsidRPr="00C71CF6" w:rsidRDefault="00030943" w:rsidP="00A8110C">
      <w:pPr>
        <w:jc w:val="both"/>
      </w:pPr>
    </w:p>
    <w:p w:rsidR="00030943" w:rsidRPr="00C71CF6" w:rsidRDefault="00030943" w:rsidP="00A8110C">
      <w:pPr>
        <w:jc w:val="both"/>
      </w:pPr>
      <w:r w:rsidRPr="00C71CF6">
        <w:t>Secretary</w:t>
      </w:r>
    </w:p>
    <w:sectPr w:rsidR="00030943" w:rsidRPr="00C71CF6" w:rsidSect="005B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E53"/>
    <w:multiLevelType w:val="hybridMultilevel"/>
    <w:tmpl w:val="36F0EF24"/>
    <w:lvl w:ilvl="0" w:tplc="9A9CC126">
      <w:start w:val="1"/>
      <w:numFmt w:val="bullet"/>
      <w:lvlText w:val=""/>
      <w:lvlJc w:val="left"/>
      <w:pPr>
        <w:tabs>
          <w:tab w:val="num" w:pos="978"/>
        </w:tabs>
        <w:ind w:left="97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561B4F"/>
    <w:multiLevelType w:val="hybridMultilevel"/>
    <w:tmpl w:val="2E2A7236"/>
    <w:lvl w:ilvl="0" w:tplc="0409000F">
      <w:start w:val="1"/>
      <w:numFmt w:val="decimal"/>
      <w:lvlText w:val="%1."/>
      <w:lvlJc w:val="left"/>
      <w:pPr>
        <w:ind w:left="360" w:hanging="360"/>
      </w:pPr>
      <w:rPr>
        <w:rFonts w:cs="Times New Roman"/>
      </w:rPr>
    </w:lvl>
    <w:lvl w:ilvl="1" w:tplc="AE349152">
      <w:start w:val="1"/>
      <w:numFmt w:val="lowerLetter"/>
      <w:lvlText w:val="(%2)"/>
      <w:lvlJc w:val="left"/>
      <w:pPr>
        <w:tabs>
          <w:tab w:val="num" w:pos="1440"/>
        </w:tabs>
        <w:ind w:left="1440" w:hanging="360"/>
      </w:pPr>
      <w:rPr>
        <w:rFonts w:cs="Times New Roman"/>
      </w:rPr>
    </w:lvl>
    <w:lvl w:ilvl="2" w:tplc="B75027DE">
      <w:start w:val="5"/>
      <w:numFmt w:val="bullet"/>
      <w:lvlText w:val="–"/>
      <w:lvlJc w:val="left"/>
      <w:pPr>
        <w:tabs>
          <w:tab w:val="num" w:pos="2340"/>
        </w:tabs>
        <w:ind w:left="2340" w:hanging="360"/>
      </w:pPr>
      <w:rPr>
        <w:rFonts w:ascii="Calibri" w:eastAsia="Times New Roman" w:hAnsi="Calibri" w:hint="default"/>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
    <w:nsid w:val="0659293A"/>
    <w:multiLevelType w:val="hybridMultilevel"/>
    <w:tmpl w:val="FFFFFFFF"/>
    <w:lvl w:ilvl="0" w:tplc="B540F6DA">
      <w:start w:val="1"/>
      <w:numFmt w:val="bullet"/>
      <w:lvlText w:val="•"/>
      <w:lvlJc w:val="left"/>
      <w:pPr>
        <w:ind w:hanging="171"/>
      </w:pPr>
      <w:rPr>
        <w:rFonts w:ascii="HelveticaNeueLT Std" w:eastAsia="Times New Roman" w:hAnsi="HelveticaNeueLT Std" w:hint="default"/>
        <w:color w:val="231F20"/>
        <w:sz w:val="18"/>
      </w:rPr>
    </w:lvl>
    <w:lvl w:ilvl="1" w:tplc="CA48D154">
      <w:start w:val="1"/>
      <w:numFmt w:val="bullet"/>
      <w:lvlText w:val="•"/>
      <w:lvlJc w:val="left"/>
      <w:rPr>
        <w:rFonts w:hint="default"/>
      </w:rPr>
    </w:lvl>
    <w:lvl w:ilvl="2" w:tplc="38CC5BC6">
      <w:start w:val="1"/>
      <w:numFmt w:val="bullet"/>
      <w:lvlText w:val="•"/>
      <w:lvlJc w:val="left"/>
      <w:rPr>
        <w:rFonts w:hint="default"/>
      </w:rPr>
    </w:lvl>
    <w:lvl w:ilvl="3" w:tplc="37A04134">
      <w:start w:val="1"/>
      <w:numFmt w:val="bullet"/>
      <w:lvlText w:val="•"/>
      <w:lvlJc w:val="left"/>
      <w:rPr>
        <w:rFonts w:hint="default"/>
      </w:rPr>
    </w:lvl>
    <w:lvl w:ilvl="4" w:tplc="E30286A2">
      <w:start w:val="1"/>
      <w:numFmt w:val="bullet"/>
      <w:lvlText w:val="•"/>
      <w:lvlJc w:val="left"/>
      <w:rPr>
        <w:rFonts w:hint="default"/>
      </w:rPr>
    </w:lvl>
    <w:lvl w:ilvl="5" w:tplc="5B1CAA62">
      <w:start w:val="1"/>
      <w:numFmt w:val="bullet"/>
      <w:lvlText w:val="•"/>
      <w:lvlJc w:val="left"/>
      <w:rPr>
        <w:rFonts w:hint="default"/>
      </w:rPr>
    </w:lvl>
    <w:lvl w:ilvl="6" w:tplc="DBB44CEC">
      <w:start w:val="1"/>
      <w:numFmt w:val="bullet"/>
      <w:lvlText w:val="•"/>
      <w:lvlJc w:val="left"/>
      <w:rPr>
        <w:rFonts w:hint="default"/>
      </w:rPr>
    </w:lvl>
    <w:lvl w:ilvl="7" w:tplc="8AAAFDEE">
      <w:start w:val="1"/>
      <w:numFmt w:val="bullet"/>
      <w:lvlText w:val="•"/>
      <w:lvlJc w:val="left"/>
      <w:rPr>
        <w:rFonts w:hint="default"/>
      </w:rPr>
    </w:lvl>
    <w:lvl w:ilvl="8" w:tplc="4BF8C2D6">
      <w:start w:val="1"/>
      <w:numFmt w:val="bullet"/>
      <w:lvlText w:val="•"/>
      <w:lvlJc w:val="left"/>
      <w:rPr>
        <w:rFonts w:hint="default"/>
      </w:rPr>
    </w:lvl>
  </w:abstractNum>
  <w:abstractNum w:abstractNumId="3">
    <w:nsid w:val="1E3D323F"/>
    <w:multiLevelType w:val="hybridMultilevel"/>
    <w:tmpl w:val="30324290"/>
    <w:lvl w:ilvl="0" w:tplc="9A9CC126">
      <w:start w:val="1"/>
      <w:numFmt w:val="bullet"/>
      <w:lvlText w:val=""/>
      <w:lvlJc w:val="left"/>
      <w:pPr>
        <w:tabs>
          <w:tab w:val="num" w:pos="978"/>
        </w:tabs>
        <w:ind w:left="9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B56BA2"/>
    <w:multiLevelType w:val="hybridMultilevel"/>
    <w:tmpl w:val="E4621D6C"/>
    <w:lvl w:ilvl="0" w:tplc="9A9CC126">
      <w:start w:val="1"/>
      <w:numFmt w:val="bullet"/>
      <w:lvlText w:val=""/>
      <w:lvlJc w:val="left"/>
      <w:pPr>
        <w:tabs>
          <w:tab w:val="num" w:pos="978"/>
        </w:tabs>
        <w:ind w:left="9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B79"/>
    <w:rsid w:val="0002369F"/>
    <w:rsid w:val="00030943"/>
    <w:rsid w:val="000C0A8B"/>
    <w:rsid w:val="000E66BE"/>
    <w:rsid w:val="000F7566"/>
    <w:rsid w:val="00115C9E"/>
    <w:rsid w:val="001908DB"/>
    <w:rsid w:val="001C400E"/>
    <w:rsid w:val="00204178"/>
    <w:rsid w:val="00301B79"/>
    <w:rsid w:val="0034545D"/>
    <w:rsid w:val="00371F8C"/>
    <w:rsid w:val="003720D0"/>
    <w:rsid w:val="00383980"/>
    <w:rsid w:val="003B3FA7"/>
    <w:rsid w:val="003D2E4E"/>
    <w:rsid w:val="003D743A"/>
    <w:rsid w:val="003F1837"/>
    <w:rsid w:val="004102F3"/>
    <w:rsid w:val="004C4C99"/>
    <w:rsid w:val="004E08AE"/>
    <w:rsid w:val="00511A20"/>
    <w:rsid w:val="005339DD"/>
    <w:rsid w:val="00556B71"/>
    <w:rsid w:val="005B2010"/>
    <w:rsid w:val="0063054E"/>
    <w:rsid w:val="00674D67"/>
    <w:rsid w:val="00726550"/>
    <w:rsid w:val="007472C8"/>
    <w:rsid w:val="007806F5"/>
    <w:rsid w:val="007D4276"/>
    <w:rsid w:val="00811BD3"/>
    <w:rsid w:val="00811E48"/>
    <w:rsid w:val="00815650"/>
    <w:rsid w:val="00830B2B"/>
    <w:rsid w:val="00884F4D"/>
    <w:rsid w:val="0088652F"/>
    <w:rsid w:val="008A017A"/>
    <w:rsid w:val="008F58AB"/>
    <w:rsid w:val="00902CCE"/>
    <w:rsid w:val="009661B2"/>
    <w:rsid w:val="00984702"/>
    <w:rsid w:val="009B077B"/>
    <w:rsid w:val="009B0EA6"/>
    <w:rsid w:val="00A24A0C"/>
    <w:rsid w:val="00A8110C"/>
    <w:rsid w:val="00B032E5"/>
    <w:rsid w:val="00B0344B"/>
    <w:rsid w:val="00B75FB0"/>
    <w:rsid w:val="00B81A5C"/>
    <w:rsid w:val="00BA082B"/>
    <w:rsid w:val="00BA719E"/>
    <w:rsid w:val="00C026FC"/>
    <w:rsid w:val="00C10F62"/>
    <w:rsid w:val="00C127FE"/>
    <w:rsid w:val="00C71B55"/>
    <w:rsid w:val="00C71CF6"/>
    <w:rsid w:val="00CA13D0"/>
    <w:rsid w:val="00CF0F23"/>
    <w:rsid w:val="00D017C4"/>
    <w:rsid w:val="00D06F9E"/>
    <w:rsid w:val="00D3096D"/>
    <w:rsid w:val="00DB381E"/>
    <w:rsid w:val="00DF03DD"/>
    <w:rsid w:val="00E02F50"/>
    <w:rsid w:val="00E5629D"/>
    <w:rsid w:val="00EA7399"/>
    <w:rsid w:val="00F72DF0"/>
    <w:rsid w:val="00F833D1"/>
    <w:rsid w:val="00F85B21"/>
    <w:rsid w:val="00F93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D1"/>
    <w:pPr>
      <w:spacing w:after="200" w:line="276" w:lineRule="auto"/>
    </w:pPr>
    <w:rPr>
      <w:sz w:val="22"/>
      <w:szCs w:val="22"/>
    </w:rPr>
  </w:style>
  <w:style w:type="paragraph" w:styleId="Heading2">
    <w:name w:val="heading 2"/>
    <w:basedOn w:val="Normal"/>
    <w:link w:val="Heading2Char"/>
    <w:uiPriority w:val="99"/>
    <w:qFormat/>
    <w:locked/>
    <w:rsid w:val="0020417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04178"/>
    <w:rPr>
      <w:rFonts w:ascii="Times New Roman" w:hAnsi="Times New Roman" w:cs="Times New Roman"/>
      <w:b/>
      <w:bCs/>
      <w:sz w:val="36"/>
      <w:szCs w:val="36"/>
    </w:rPr>
  </w:style>
  <w:style w:type="character" w:styleId="Hyperlink">
    <w:name w:val="Hyperlink"/>
    <w:uiPriority w:val="99"/>
    <w:rsid w:val="00D017C4"/>
    <w:rPr>
      <w:rFonts w:cs="Times New Roman"/>
      <w:color w:val="0000FF"/>
      <w:u w:val="single"/>
    </w:rPr>
  </w:style>
  <w:style w:type="paragraph" w:styleId="BodyText">
    <w:name w:val="Body Text"/>
    <w:basedOn w:val="Normal"/>
    <w:link w:val="BodyTextChar"/>
    <w:uiPriority w:val="99"/>
    <w:rsid w:val="00CF0F23"/>
    <w:pPr>
      <w:widowControl w:val="0"/>
      <w:spacing w:after="0" w:line="240" w:lineRule="auto"/>
      <w:ind w:left="113"/>
    </w:pPr>
    <w:rPr>
      <w:rFonts w:ascii="Arial" w:hAnsi="Arial"/>
      <w:sz w:val="18"/>
      <w:szCs w:val="18"/>
      <w:lang w:val="en-US" w:eastAsia="en-US"/>
    </w:rPr>
  </w:style>
  <w:style w:type="character" w:customStyle="1" w:styleId="BodyTextChar">
    <w:name w:val="Body Text Char"/>
    <w:link w:val="BodyText"/>
    <w:uiPriority w:val="99"/>
    <w:semiHidden/>
    <w:locked/>
    <w:rsid w:val="00CF0F23"/>
    <w:rPr>
      <w:rFonts w:ascii="Arial" w:hAnsi="Arial" w:cs="Times New Roman"/>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946026">
      <w:marLeft w:val="0"/>
      <w:marRight w:val="0"/>
      <w:marTop w:val="0"/>
      <w:marBottom w:val="0"/>
      <w:divBdr>
        <w:top w:val="none" w:sz="0" w:space="0" w:color="auto"/>
        <w:left w:val="none" w:sz="0" w:space="0" w:color="auto"/>
        <w:bottom w:val="none" w:sz="0" w:space="0" w:color="auto"/>
        <w:right w:val="none" w:sz="0" w:space="0" w:color="auto"/>
      </w:divBdr>
    </w:div>
    <w:div w:id="2063946031">
      <w:marLeft w:val="0"/>
      <w:marRight w:val="0"/>
      <w:marTop w:val="0"/>
      <w:marBottom w:val="0"/>
      <w:divBdr>
        <w:top w:val="none" w:sz="0" w:space="0" w:color="auto"/>
        <w:left w:val="none" w:sz="0" w:space="0" w:color="auto"/>
        <w:bottom w:val="none" w:sz="0" w:space="0" w:color="auto"/>
        <w:right w:val="none" w:sz="0" w:space="0" w:color="auto"/>
      </w:divBdr>
    </w:div>
    <w:div w:id="2063946063">
      <w:marLeft w:val="0"/>
      <w:marRight w:val="0"/>
      <w:marTop w:val="0"/>
      <w:marBottom w:val="0"/>
      <w:divBdr>
        <w:top w:val="none" w:sz="0" w:space="0" w:color="auto"/>
        <w:left w:val="none" w:sz="0" w:space="0" w:color="auto"/>
        <w:bottom w:val="none" w:sz="0" w:space="0" w:color="auto"/>
        <w:right w:val="none" w:sz="0" w:space="0" w:color="auto"/>
      </w:divBdr>
      <w:divsChild>
        <w:div w:id="2063946070">
          <w:marLeft w:val="0"/>
          <w:marRight w:val="0"/>
          <w:marTop w:val="0"/>
          <w:marBottom w:val="0"/>
          <w:divBdr>
            <w:top w:val="none" w:sz="0" w:space="0" w:color="auto"/>
            <w:left w:val="none" w:sz="0" w:space="0" w:color="auto"/>
            <w:bottom w:val="none" w:sz="0" w:space="0" w:color="auto"/>
            <w:right w:val="none" w:sz="0" w:space="0" w:color="auto"/>
          </w:divBdr>
          <w:divsChild>
            <w:div w:id="2063946032">
              <w:marLeft w:val="0"/>
              <w:marRight w:val="0"/>
              <w:marTop w:val="0"/>
              <w:marBottom w:val="0"/>
              <w:divBdr>
                <w:top w:val="none" w:sz="0" w:space="0" w:color="auto"/>
                <w:left w:val="none" w:sz="0" w:space="0" w:color="auto"/>
                <w:bottom w:val="none" w:sz="0" w:space="0" w:color="auto"/>
                <w:right w:val="none" w:sz="0" w:space="0" w:color="auto"/>
              </w:divBdr>
            </w:div>
            <w:div w:id="2063946033">
              <w:marLeft w:val="0"/>
              <w:marRight w:val="0"/>
              <w:marTop w:val="0"/>
              <w:marBottom w:val="0"/>
              <w:divBdr>
                <w:top w:val="none" w:sz="0" w:space="0" w:color="auto"/>
                <w:left w:val="none" w:sz="0" w:space="0" w:color="auto"/>
                <w:bottom w:val="none" w:sz="0" w:space="0" w:color="auto"/>
                <w:right w:val="none" w:sz="0" w:space="0" w:color="auto"/>
              </w:divBdr>
            </w:div>
            <w:div w:id="2063946034">
              <w:marLeft w:val="0"/>
              <w:marRight w:val="0"/>
              <w:marTop w:val="0"/>
              <w:marBottom w:val="0"/>
              <w:divBdr>
                <w:top w:val="none" w:sz="0" w:space="0" w:color="auto"/>
                <w:left w:val="none" w:sz="0" w:space="0" w:color="auto"/>
                <w:bottom w:val="none" w:sz="0" w:space="0" w:color="auto"/>
                <w:right w:val="none" w:sz="0" w:space="0" w:color="auto"/>
              </w:divBdr>
            </w:div>
            <w:div w:id="2063946035">
              <w:marLeft w:val="0"/>
              <w:marRight w:val="0"/>
              <w:marTop w:val="0"/>
              <w:marBottom w:val="0"/>
              <w:divBdr>
                <w:top w:val="none" w:sz="0" w:space="0" w:color="auto"/>
                <w:left w:val="none" w:sz="0" w:space="0" w:color="auto"/>
                <w:bottom w:val="none" w:sz="0" w:space="0" w:color="auto"/>
                <w:right w:val="none" w:sz="0" w:space="0" w:color="auto"/>
              </w:divBdr>
            </w:div>
            <w:div w:id="2063946036">
              <w:marLeft w:val="0"/>
              <w:marRight w:val="0"/>
              <w:marTop w:val="0"/>
              <w:marBottom w:val="0"/>
              <w:divBdr>
                <w:top w:val="none" w:sz="0" w:space="0" w:color="auto"/>
                <w:left w:val="none" w:sz="0" w:space="0" w:color="auto"/>
                <w:bottom w:val="none" w:sz="0" w:space="0" w:color="auto"/>
                <w:right w:val="none" w:sz="0" w:space="0" w:color="auto"/>
              </w:divBdr>
            </w:div>
            <w:div w:id="2063946037">
              <w:marLeft w:val="0"/>
              <w:marRight w:val="0"/>
              <w:marTop w:val="0"/>
              <w:marBottom w:val="0"/>
              <w:divBdr>
                <w:top w:val="none" w:sz="0" w:space="0" w:color="auto"/>
                <w:left w:val="none" w:sz="0" w:space="0" w:color="auto"/>
                <w:bottom w:val="none" w:sz="0" w:space="0" w:color="auto"/>
                <w:right w:val="none" w:sz="0" w:space="0" w:color="auto"/>
              </w:divBdr>
            </w:div>
            <w:div w:id="2063946038">
              <w:marLeft w:val="0"/>
              <w:marRight w:val="0"/>
              <w:marTop w:val="0"/>
              <w:marBottom w:val="0"/>
              <w:divBdr>
                <w:top w:val="none" w:sz="0" w:space="0" w:color="auto"/>
                <w:left w:val="none" w:sz="0" w:space="0" w:color="auto"/>
                <w:bottom w:val="none" w:sz="0" w:space="0" w:color="auto"/>
                <w:right w:val="none" w:sz="0" w:space="0" w:color="auto"/>
              </w:divBdr>
            </w:div>
            <w:div w:id="2063946039">
              <w:marLeft w:val="0"/>
              <w:marRight w:val="0"/>
              <w:marTop w:val="0"/>
              <w:marBottom w:val="0"/>
              <w:divBdr>
                <w:top w:val="none" w:sz="0" w:space="0" w:color="auto"/>
                <w:left w:val="none" w:sz="0" w:space="0" w:color="auto"/>
                <w:bottom w:val="none" w:sz="0" w:space="0" w:color="auto"/>
                <w:right w:val="none" w:sz="0" w:space="0" w:color="auto"/>
              </w:divBdr>
            </w:div>
            <w:div w:id="2063946040">
              <w:marLeft w:val="0"/>
              <w:marRight w:val="0"/>
              <w:marTop w:val="0"/>
              <w:marBottom w:val="0"/>
              <w:divBdr>
                <w:top w:val="none" w:sz="0" w:space="0" w:color="auto"/>
                <w:left w:val="none" w:sz="0" w:space="0" w:color="auto"/>
                <w:bottom w:val="none" w:sz="0" w:space="0" w:color="auto"/>
                <w:right w:val="none" w:sz="0" w:space="0" w:color="auto"/>
              </w:divBdr>
            </w:div>
            <w:div w:id="2063946041">
              <w:marLeft w:val="0"/>
              <w:marRight w:val="0"/>
              <w:marTop w:val="0"/>
              <w:marBottom w:val="0"/>
              <w:divBdr>
                <w:top w:val="none" w:sz="0" w:space="0" w:color="auto"/>
                <w:left w:val="none" w:sz="0" w:space="0" w:color="auto"/>
                <w:bottom w:val="none" w:sz="0" w:space="0" w:color="auto"/>
                <w:right w:val="none" w:sz="0" w:space="0" w:color="auto"/>
              </w:divBdr>
            </w:div>
            <w:div w:id="2063946042">
              <w:marLeft w:val="0"/>
              <w:marRight w:val="0"/>
              <w:marTop w:val="0"/>
              <w:marBottom w:val="0"/>
              <w:divBdr>
                <w:top w:val="none" w:sz="0" w:space="0" w:color="auto"/>
                <w:left w:val="none" w:sz="0" w:space="0" w:color="auto"/>
                <w:bottom w:val="none" w:sz="0" w:space="0" w:color="auto"/>
                <w:right w:val="none" w:sz="0" w:space="0" w:color="auto"/>
              </w:divBdr>
            </w:div>
            <w:div w:id="2063946043">
              <w:marLeft w:val="0"/>
              <w:marRight w:val="0"/>
              <w:marTop w:val="0"/>
              <w:marBottom w:val="0"/>
              <w:divBdr>
                <w:top w:val="none" w:sz="0" w:space="0" w:color="auto"/>
                <w:left w:val="none" w:sz="0" w:space="0" w:color="auto"/>
                <w:bottom w:val="none" w:sz="0" w:space="0" w:color="auto"/>
                <w:right w:val="none" w:sz="0" w:space="0" w:color="auto"/>
              </w:divBdr>
            </w:div>
            <w:div w:id="2063946044">
              <w:marLeft w:val="0"/>
              <w:marRight w:val="0"/>
              <w:marTop w:val="0"/>
              <w:marBottom w:val="0"/>
              <w:divBdr>
                <w:top w:val="none" w:sz="0" w:space="0" w:color="auto"/>
                <w:left w:val="none" w:sz="0" w:space="0" w:color="auto"/>
                <w:bottom w:val="none" w:sz="0" w:space="0" w:color="auto"/>
                <w:right w:val="none" w:sz="0" w:space="0" w:color="auto"/>
              </w:divBdr>
            </w:div>
            <w:div w:id="2063946045">
              <w:marLeft w:val="0"/>
              <w:marRight w:val="0"/>
              <w:marTop w:val="0"/>
              <w:marBottom w:val="0"/>
              <w:divBdr>
                <w:top w:val="none" w:sz="0" w:space="0" w:color="auto"/>
                <w:left w:val="none" w:sz="0" w:space="0" w:color="auto"/>
                <w:bottom w:val="none" w:sz="0" w:space="0" w:color="auto"/>
                <w:right w:val="none" w:sz="0" w:space="0" w:color="auto"/>
              </w:divBdr>
            </w:div>
            <w:div w:id="2063946046">
              <w:marLeft w:val="0"/>
              <w:marRight w:val="0"/>
              <w:marTop w:val="0"/>
              <w:marBottom w:val="0"/>
              <w:divBdr>
                <w:top w:val="none" w:sz="0" w:space="0" w:color="auto"/>
                <w:left w:val="none" w:sz="0" w:space="0" w:color="auto"/>
                <w:bottom w:val="none" w:sz="0" w:space="0" w:color="auto"/>
                <w:right w:val="none" w:sz="0" w:space="0" w:color="auto"/>
              </w:divBdr>
            </w:div>
            <w:div w:id="2063946047">
              <w:marLeft w:val="0"/>
              <w:marRight w:val="0"/>
              <w:marTop w:val="0"/>
              <w:marBottom w:val="0"/>
              <w:divBdr>
                <w:top w:val="none" w:sz="0" w:space="0" w:color="auto"/>
                <w:left w:val="none" w:sz="0" w:space="0" w:color="auto"/>
                <w:bottom w:val="none" w:sz="0" w:space="0" w:color="auto"/>
                <w:right w:val="none" w:sz="0" w:space="0" w:color="auto"/>
              </w:divBdr>
            </w:div>
            <w:div w:id="2063946048">
              <w:marLeft w:val="0"/>
              <w:marRight w:val="0"/>
              <w:marTop w:val="0"/>
              <w:marBottom w:val="0"/>
              <w:divBdr>
                <w:top w:val="none" w:sz="0" w:space="0" w:color="auto"/>
                <w:left w:val="none" w:sz="0" w:space="0" w:color="auto"/>
                <w:bottom w:val="none" w:sz="0" w:space="0" w:color="auto"/>
                <w:right w:val="none" w:sz="0" w:space="0" w:color="auto"/>
              </w:divBdr>
            </w:div>
            <w:div w:id="2063946049">
              <w:marLeft w:val="0"/>
              <w:marRight w:val="0"/>
              <w:marTop w:val="0"/>
              <w:marBottom w:val="0"/>
              <w:divBdr>
                <w:top w:val="none" w:sz="0" w:space="0" w:color="auto"/>
                <w:left w:val="none" w:sz="0" w:space="0" w:color="auto"/>
                <w:bottom w:val="none" w:sz="0" w:space="0" w:color="auto"/>
                <w:right w:val="none" w:sz="0" w:space="0" w:color="auto"/>
              </w:divBdr>
            </w:div>
            <w:div w:id="2063946050">
              <w:marLeft w:val="0"/>
              <w:marRight w:val="0"/>
              <w:marTop w:val="0"/>
              <w:marBottom w:val="0"/>
              <w:divBdr>
                <w:top w:val="none" w:sz="0" w:space="0" w:color="auto"/>
                <w:left w:val="none" w:sz="0" w:space="0" w:color="auto"/>
                <w:bottom w:val="none" w:sz="0" w:space="0" w:color="auto"/>
                <w:right w:val="none" w:sz="0" w:space="0" w:color="auto"/>
              </w:divBdr>
            </w:div>
            <w:div w:id="2063946051">
              <w:marLeft w:val="0"/>
              <w:marRight w:val="0"/>
              <w:marTop w:val="0"/>
              <w:marBottom w:val="0"/>
              <w:divBdr>
                <w:top w:val="none" w:sz="0" w:space="0" w:color="auto"/>
                <w:left w:val="none" w:sz="0" w:space="0" w:color="auto"/>
                <w:bottom w:val="none" w:sz="0" w:space="0" w:color="auto"/>
                <w:right w:val="none" w:sz="0" w:space="0" w:color="auto"/>
              </w:divBdr>
            </w:div>
            <w:div w:id="2063946052">
              <w:marLeft w:val="0"/>
              <w:marRight w:val="0"/>
              <w:marTop w:val="0"/>
              <w:marBottom w:val="0"/>
              <w:divBdr>
                <w:top w:val="none" w:sz="0" w:space="0" w:color="auto"/>
                <w:left w:val="none" w:sz="0" w:space="0" w:color="auto"/>
                <w:bottom w:val="none" w:sz="0" w:space="0" w:color="auto"/>
                <w:right w:val="none" w:sz="0" w:space="0" w:color="auto"/>
              </w:divBdr>
            </w:div>
            <w:div w:id="2063946053">
              <w:marLeft w:val="0"/>
              <w:marRight w:val="0"/>
              <w:marTop w:val="0"/>
              <w:marBottom w:val="0"/>
              <w:divBdr>
                <w:top w:val="none" w:sz="0" w:space="0" w:color="auto"/>
                <w:left w:val="none" w:sz="0" w:space="0" w:color="auto"/>
                <w:bottom w:val="none" w:sz="0" w:space="0" w:color="auto"/>
                <w:right w:val="none" w:sz="0" w:space="0" w:color="auto"/>
              </w:divBdr>
            </w:div>
            <w:div w:id="2063946054">
              <w:marLeft w:val="0"/>
              <w:marRight w:val="0"/>
              <w:marTop w:val="0"/>
              <w:marBottom w:val="0"/>
              <w:divBdr>
                <w:top w:val="none" w:sz="0" w:space="0" w:color="auto"/>
                <w:left w:val="none" w:sz="0" w:space="0" w:color="auto"/>
                <w:bottom w:val="none" w:sz="0" w:space="0" w:color="auto"/>
                <w:right w:val="none" w:sz="0" w:space="0" w:color="auto"/>
              </w:divBdr>
            </w:div>
            <w:div w:id="2063946055">
              <w:marLeft w:val="0"/>
              <w:marRight w:val="0"/>
              <w:marTop w:val="0"/>
              <w:marBottom w:val="0"/>
              <w:divBdr>
                <w:top w:val="none" w:sz="0" w:space="0" w:color="auto"/>
                <w:left w:val="none" w:sz="0" w:space="0" w:color="auto"/>
                <w:bottom w:val="none" w:sz="0" w:space="0" w:color="auto"/>
                <w:right w:val="none" w:sz="0" w:space="0" w:color="auto"/>
              </w:divBdr>
            </w:div>
            <w:div w:id="2063946056">
              <w:marLeft w:val="0"/>
              <w:marRight w:val="0"/>
              <w:marTop w:val="0"/>
              <w:marBottom w:val="0"/>
              <w:divBdr>
                <w:top w:val="none" w:sz="0" w:space="0" w:color="auto"/>
                <w:left w:val="none" w:sz="0" w:space="0" w:color="auto"/>
                <w:bottom w:val="none" w:sz="0" w:space="0" w:color="auto"/>
                <w:right w:val="none" w:sz="0" w:space="0" w:color="auto"/>
              </w:divBdr>
            </w:div>
            <w:div w:id="2063946057">
              <w:marLeft w:val="0"/>
              <w:marRight w:val="0"/>
              <w:marTop w:val="0"/>
              <w:marBottom w:val="0"/>
              <w:divBdr>
                <w:top w:val="none" w:sz="0" w:space="0" w:color="auto"/>
                <w:left w:val="none" w:sz="0" w:space="0" w:color="auto"/>
                <w:bottom w:val="none" w:sz="0" w:space="0" w:color="auto"/>
                <w:right w:val="none" w:sz="0" w:space="0" w:color="auto"/>
              </w:divBdr>
            </w:div>
            <w:div w:id="2063946058">
              <w:marLeft w:val="0"/>
              <w:marRight w:val="0"/>
              <w:marTop w:val="0"/>
              <w:marBottom w:val="0"/>
              <w:divBdr>
                <w:top w:val="none" w:sz="0" w:space="0" w:color="auto"/>
                <w:left w:val="none" w:sz="0" w:space="0" w:color="auto"/>
                <w:bottom w:val="none" w:sz="0" w:space="0" w:color="auto"/>
                <w:right w:val="none" w:sz="0" w:space="0" w:color="auto"/>
              </w:divBdr>
            </w:div>
            <w:div w:id="2063946059">
              <w:marLeft w:val="0"/>
              <w:marRight w:val="0"/>
              <w:marTop w:val="0"/>
              <w:marBottom w:val="0"/>
              <w:divBdr>
                <w:top w:val="none" w:sz="0" w:space="0" w:color="auto"/>
                <w:left w:val="none" w:sz="0" w:space="0" w:color="auto"/>
                <w:bottom w:val="none" w:sz="0" w:space="0" w:color="auto"/>
                <w:right w:val="none" w:sz="0" w:space="0" w:color="auto"/>
              </w:divBdr>
            </w:div>
            <w:div w:id="2063946060">
              <w:marLeft w:val="0"/>
              <w:marRight w:val="0"/>
              <w:marTop w:val="0"/>
              <w:marBottom w:val="0"/>
              <w:divBdr>
                <w:top w:val="none" w:sz="0" w:space="0" w:color="auto"/>
                <w:left w:val="none" w:sz="0" w:space="0" w:color="auto"/>
                <w:bottom w:val="none" w:sz="0" w:space="0" w:color="auto"/>
                <w:right w:val="none" w:sz="0" w:space="0" w:color="auto"/>
              </w:divBdr>
            </w:div>
            <w:div w:id="2063946061">
              <w:marLeft w:val="0"/>
              <w:marRight w:val="0"/>
              <w:marTop w:val="0"/>
              <w:marBottom w:val="0"/>
              <w:divBdr>
                <w:top w:val="none" w:sz="0" w:space="0" w:color="auto"/>
                <w:left w:val="none" w:sz="0" w:space="0" w:color="auto"/>
                <w:bottom w:val="none" w:sz="0" w:space="0" w:color="auto"/>
                <w:right w:val="none" w:sz="0" w:space="0" w:color="auto"/>
              </w:divBdr>
            </w:div>
            <w:div w:id="2063946062">
              <w:marLeft w:val="0"/>
              <w:marRight w:val="0"/>
              <w:marTop w:val="0"/>
              <w:marBottom w:val="0"/>
              <w:divBdr>
                <w:top w:val="none" w:sz="0" w:space="0" w:color="auto"/>
                <w:left w:val="none" w:sz="0" w:space="0" w:color="auto"/>
                <w:bottom w:val="none" w:sz="0" w:space="0" w:color="auto"/>
                <w:right w:val="none" w:sz="0" w:space="0" w:color="auto"/>
              </w:divBdr>
            </w:div>
            <w:div w:id="2063946064">
              <w:marLeft w:val="0"/>
              <w:marRight w:val="0"/>
              <w:marTop w:val="0"/>
              <w:marBottom w:val="0"/>
              <w:divBdr>
                <w:top w:val="none" w:sz="0" w:space="0" w:color="auto"/>
                <w:left w:val="none" w:sz="0" w:space="0" w:color="auto"/>
                <w:bottom w:val="none" w:sz="0" w:space="0" w:color="auto"/>
                <w:right w:val="none" w:sz="0" w:space="0" w:color="auto"/>
              </w:divBdr>
            </w:div>
            <w:div w:id="2063946065">
              <w:marLeft w:val="0"/>
              <w:marRight w:val="0"/>
              <w:marTop w:val="0"/>
              <w:marBottom w:val="0"/>
              <w:divBdr>
                <w:top w:val="none" w:sz="0" w:space="0" w:color="auto"/>
                <w:left w:val="none" w:sz="0" w:space="0" w:color="auto"/>
                <w:bottom w:val="none" w:sz="0" w:space="0" w:color="auto"/>
                <w:right w:val="none" w:sz="0" w:space="0" w:color="auto"/>
              </w:divBdr>
            </w:div>
            <w:div w:id="2063946066">
              <w:marLeft w:val="0"/>
              <w:marRight w:val="0"/>
              <w:marTop w:val="0"/>
              <w:marBottom w:val="0"/>
              <w:divBdr>
                <w:top w:val="none" w:sz="0" w:space="0" w:color="auto"/>
                <w:left w:val="none" w:sz="0" w:space="0" w:color="auto"/>
                <w:bottom w:val="none" w:sz="0" w:space="0" w:color="auto"/>
                <w:right w:val="none" w:sz="0" w:space="0" w:color="auto"/>
              </w:divBdr>
            </w:div>
            <w:div w:id="2063946067">
              <w:marLeft w:val="0"/>
              <w:marRight w:val="0"/>
              <w:marTop w:val="0"/>
              <w:marBottom w:val="0"/>
              <w:divBdr>
                <w:top w:val="none" w:sz="0" w:space="0" w:color="auto"/>
                <w:left w:val="none" w:sz="0" w:space="0" w:color="auto"/>
                <w:bottom w:val="none" w:sz="0" w:space="0" w:color="auto"/>
                <w:right w:val="none" w:sz="0" w:space="0" w:color="auto"/>
              </w:divBdr>
            </w:div>
            <w:div w:id="2063946068">
              <w:marLeft w:val="0"/>
              <w:marRight w:val="0"/>
              <w:marTop w:val="0"/>
              <w:marBottom w:val="0"/>
              <w:divBdr>
                <w:top w:val="none" w:sz="0" w:space="0" w:color="auto"/>
                <w:left w:val="none" w:sz="0" w:space="0" w:color="auto"/>
                <w:bottom w:val="none" w:sz="0" w:space="0" w:color="auto"/>
                <w:right w:val="none" w:sz="0" w:space="0" w:color="auto"/>
              </w:divBdr>
            </w:div>
            <w:div w:id="2063946069">
              <w:marLeft w:val="0"/>
              <w:marRight w:val="0"/>
              <w:marTop w:val="0"/>
              <w:marBottom w:val="0"/>
              <w:divBdr>
                <w:top w:val="none" w:sz="0" w:space="0" w:color="auto"/>
                <w:left w:val="none" w:sz="0" w:space="0" w:color="auto"/>
                <w:bottom w:val="none" w:sz="0" w:space="0" w:color="auto"/>
                <w:right w:val="none" w:sz="0" w:space="0" w:color="auto"/>
              </w:divBdr>
            </w:div>
            <w:div w:id="2063946071">
              <w:marLeft w:val="0"/>
              <w:marRight w:val="0"/>
              <w:marTop w:val="0"/>
              <w:marBottom w:val="0"/>
              <w:divBdr>
                <w:top w:val="none" w:sz="0" w:space="0" w:color="auto"/>
                <w:left w:val="none" w:sz="0" w:space="0" w:color="auto"/>
                <w:bottom w:val="none" w:sz="0" w:space="0" w:color="auto"/>
                <w:right w:val="none" w:sz="0" w:space="0" w:color="auto"/>
              </w:divBdr>
            </w:div>
            <w:div w:id="2063946072">
              <w:marLeft w:val="0"/>
              <w:marRight w:val="0"/>
              <w:marTop w:val="0"/>
              <w:marBottom w:val="0"/>
              <w:divBdr>
                <w:top w:val="none" w:sz="0" w:space="0" w:color="auto"/>
                <w:left w:val="none" w:sz="0" w:space="0" w:color="auto"/>
                <w:bottom w:val="none" w:sz="0" w:space="0" w:color="auto"/>
                <w:right w:val="none" w:sz="0" w:space="0" w:color="auto"/>
              </w:divBdr>
            </w:div>
            <w:div w:id="2063946073">
              <w:marLeft w:val="0"/>
              <w:marRight w:val="0"/>
              <w:marTop w:val="0"/>
              <w:marBottom w:val="0"/>
              <w:divBdr>
                <w:top w:val="none" w:sz="0" w:space="0" w:color="auto"/>
                <w:left w:val="none" w:sz="0" w:space="0" w:color="auto"/>
                <w:bottom w:val="none" w:sz="0" w:space="0" w:color="auto"/>
                <w:right w:val="none" w:sz="0" w:space="0" w:color="auto"/>
              </w:divBdr>
            </w:div>
            <w:div w:id="2063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6093">
      <w:marLeft w:val="0"/>
      <w:marRight w:val="0"/>
      <w:marTop w:val="0"/>
      <w:marBottom w:val="0"/>
      <w:divBdr>
        <w:top w:val="none" w:sz="0" w:space="0" w:color="auto"/>
        <w:left w:val="none" w:sz="0" w:space="0" w:color="auto"/>
        <w:bottom w:val="none" w:sz="0" w:space="0" w:color="auto"/>
        <w:right w:val="none" w:sz="0" w:space="0" w:color="auto"/>
      </w:divBdr>
    </w:div>
    <w:div w:id="2063946129">
      <w:marLeft w:val="0"/>
      <w:marRight w:val="0"/>
      <w:marTop w:val="0"/>
      <w:marBottom w:val="0"/>
      <w:divBdr>
        <w:top w:val="none" w:sz="0" w:space="0" w:color="auto"/>
        <w:left w:val="none" w:sz="0" w:space="0" w:color="auto"/>
        <w:bottom w:val="none" w:sz="0" w:space="0" w:color="auto"/>
        <w:right w:val="none" w:sz="0" w:space="0" w:color="auto"/>
      </w:divBdr>
      <w:divsChild>
        <w:div w:id="2063946154">
          <w:marLeft w:val="0"/>
          <w:marRight w:val="0"/>
          <w:marTop w:val="0"/>
          <w:marBottom w:val="0"/>
          <w:divBdr>
            <w:top w:val="none" w:sz="0" w:space="0" w:color="auto"/>
            <w:left w:val="none" w:sz="0" w:space="0" w:color="auto"/>
            <w:bottom w:val="none" w:sz="0" w:space="0" w:color="auto"/>
            <w:right w:val="none" w:sz="0" w:space="0" w:color="auto"/>
          </w:divBdr>
          <w:divsChild>
            <w:div w:id="2063946021">
              <w:marLeft w:val="0"/>
              <w:marRight w:val="0"/>
              <w:marTop w:val="0"/>
              <w:marBottom w:val="0"/>
              <w:divBdr>
                <w:top w:val="none" w:sz="0" w:space="0" w:color="auto"/>
                <w:left w:val="none" w:sz="0" w:space="0" w:color="auto"/>
                <w:bottom w:val="none" w:sz="0" w:space="0" w:color="auto"/>
                <w:right w:val="none" w:sz="0" w:space="0" w:color="auto"/>
              </w:divBdr>
            </w:div>
            <w:div w:id="2063946022">
              <w:marLeft w:val="0"/>
              <w:marRight w:val="0"/>
              <w:marTop w:val="0"/>
              <w:marBottom w:val="0"/>
              <w:divBdr>
                <w:top w:val="none" w:sz="0" w:space="0" w:color="auto"/>
                <w:left w:val="none" w:sz="0" w:space="0" w:color="auto"/>
                <w:bottom w:val="none" w:sz="0" w:space="0" w:color="auto"/>
                <w:right w:val="none" w:sz="0" w:space="0" w:color="auto"/>
              </w:divBdr>
            </w:div>
            <w:div w:id="2063946023">
              <w:marLeft w:val="0"/>
              <w:marRight w:val="0"/>
              <w:marTop w:val="0"/>
              <w:marBottom w:val="0"/>
              <w:divBdr>
                <w:top w:val="none" w:sz="0" w:space="0" w:color="auto"/>
                <w:left w:val="none" w:sz="0" w:space="0" w:color="auto"/>
                <w:bottom w:val="none" w:sz="0" w:space="0" w:color="auto"/>
                <w:right w:val="none" w:sz="0" w:space="0" w:color="auto"/>
              </w:divBdr>
            </w:div>
            <w:div w:id="2063946024">
              <w:marLeft w:val="0"/>
              <w:marRight w:val="0"/>
              <w:marTop w:val="0"/>
              <w:marBottom w:val="0"/>
              <w:divBdr>
                <w:top w:val="none" w:sz="0" w:space="0" w:color="auto"/>
                <w:left w:val="none" w:sz="0" w:space="0" w:color="auto"/>
                <w:bottom w:val="none" w:sz="0" w:space="0" w:color="auto"/>
                <w:right w:val="none" w:sz="0" w:space="0" w:color="auto"/>
              </w:divBdr>
            </w:div>
            <w:div w:id="2063946025">
              <w:marLeft w:val="0"/>
              <w:marRight w:val="0"/>
              <w:marTop w:val="0"/>
              <w:marBottom w:val="0"/>
              <w:divBdr>
                <w:top w:val="none" w:sz="0" w:space="0" w:color="auto"/>
                <w:left w:val="none" w:sz="0" w:space="0" w:color="auto"/>
                <w:bottom w:val="none" w:sz="0" w:space="0" w:color="auto"/>
                <w:right w:val="none" w:sz="0" w:space="0" w:color="auto"/>
              </w:divBdr>
            </w:div>
            <w:div w:id="2063946027">
              <w:marLeft w:val="0"/>
              <w:marRight w:val="0"/>
              <w:marTop w:val="0"/>
              <w:marBottom w:val="0"/>
              <w:divBdr>
                <w:top w:val="none" w:sz="0" w:space="0" w:color="auto"/>
                <w:left w:val="none" w:sz="0" w:space="0" w:color="auto"/>
                <w:bottom w:val="none" w:sz="0" w:space="0" w:color="auto"/>
                <w:right w:val="none" w:sz="0" w:space="0" w:color="auto"/>
              </w:divBdr>
            </w:div>
            <w:div w:id="2063946028">
              <w:marLeft w:val="0"/>
              <w:marRight w:val="0"/>
              <w:marTop w:val="0"/>
              <w:marBottom w:val="0"/>
              <w:divBdr>
                <w:top w:val="none" w:sz="0" w:space="0" w:color="auto"/>
                <w:left w:val="none" w:sz="0" w:space="0" w:color="auto"/>
                <w:bottom w:val="none" w:sz="0" w:space="0" w:color="auto"/>
                <w:right w:val="none" w:sz="0" w:space="0" w:color="auto"/>
              </w:divBdr>
            </w:div>
            <w:div w:id="2063946029">
              <w:marLeft w:val="0"/>
              <w:marRight w:val="0"/>
              <w:marTop w:val="0"/>
              <w:marBottom w:val="0"/>
              <w:divBdr>
                <w:top w:val="none" w:sz="0" w:space="0" w:color="auto"/>
                <w:left w:val="none" w:sz="0" w:space="0" w:color="auto"/>
                <w:bottom w:val="none" w:sz="0" w:space="0" w:color="auto"/>
                <w:right w:val="none" w:sz="0" w:space="0" w:color="auto"/>
              </w:divBdr>
            </w:div>
            <w:div w:id="2063946030">
              <w:marLeft w:val="0"/>
              <w:marRight w:val="0"/>
              <w:marTop w:val="0"/>
              <w:marBottom w:val="0"/>
              <w:divBdr>
                <w:top w:val="none" w:sz="0" w:space="0" w:color="auto"/>
                <w:left w:val="none" w:sz="0" w:space="0" w:color="auto"/>
                <w:bottom w:val="none" w:sz="0" w:space="0" w:color="auto"/>
                <w:right w:val="none" w:sz="0" w:space="0" w:color="auto"/>
              </w:divBdr>
            </w:div>
            <w:div w:id="2063946075">
              <w:marLeft w:val="0"/>
              <w:marRight w:val="0"/>
              <w:marTop w:val="0"/>
              <w:marBottom w:val="0"/>
              <w:divBdr>
                <w:top w:val="none" w:sz="0" w:space="0" w:color="auto"/>
                <w:left w:val="none" w:sz="0" w:space="0" w:color="auto"/>
                <w:bottom w:val="none" w:sz="0" w:space="0" w:color="auto"/>
                <w:right w:val="none" w:sz="0" w:space="0" w:color="auto"/>
              </w:divBdr>
            </w:div>
            <w:div w:id="2063946076">
              <w:marLeft w:val="0"/>
              <w:marRight w:val="0"/>
              <w:marTop w:val="0"/>
              <w:marBottom w:val="0"/>
              <w:divBdr>
                <w:top w:val="none" w:sz="0" w:space="0" w:color="auto"/>
                <w:left w:val="none" w:sz="0" w:space="0" w:color="auto"/>
                <w:bottom w:val="none" w:sz="0" w:space="0" w:color="auto"/>
                <w:right w:val="none" w:sz="0" w:space="0" w:color="auto"/>
              </w:divBdr>
            </w:div>
            <w:div w:id="2063946077">
              <w:marLeft w:val="0"/>
              <w:marRight w:val="0"/>
              <w:marTop w:val="0"/>
              <w:marBottom w:val="0"/>
              <w:divBdr>
                <w:top w:val="none" w:sz="0" w:space="0" w:color="auto"/>
                <w:left w:val="none" w:sz="0" w:space="0" w:color="auto"/>
                <w:bottom w:val="none" w:sz="0" w:space="0" w:color="auto"/>
                <w:right w:val="none" w:sz="0" w:space="0" w:color="auto"/>
              </w:divBdr>
            </w:div>
            <w:div w:id="2063946078">
              <w:marLeft w:val="0"/>
              <w:marRight w:val="0"/>
              <w:marTop w:val="0"/>
              <w:marBottom w:val="0"/>
              <w:divBdr>
                <w:top w:val="none" w:sz="0" w:space="0" w:color="auto"/>
                <w:left w:val="none" w:sz="0" w:space="0" w:color="auto"/>
                <w:bottom w:val="none" w:sz="0" w:space="0" w:color="auto"/>
                <w:right w:val="none" w:sz="0" w:space="0" w:color="auto"/>
              </w:divBdr>
            </w:div>
            <w:div w:id="2063946079">
              <w:marLeft w:val="0"/>
              <w:marRight w:val="0"/>
              <w:marTop w:val="0"/>
              <w:marBottom w:val="0"/>
              <w:divBdr>
                <w:top w:val="none" w:sz="0" w:space="0" w:color="auto"/>
                <w:left w:val="none" w:sz="0" w:space="0" w:color="auto"/>
                <w:bottom w:val="none" w:sz="0" w:space="0" w:color="auto"/>
                <w:right w:val="none" w:sz="0" w:space="0" w:color="auto"/>
              </w:divBdr>
            </w:div>
            <w:div w:id="2063946080">
              <w:marLeft w:val="0"/>
              <w:marRight w:val="0"/>
              <w:marTop w:val="0"/>
              <w:marBottom w:val="0"/>
              <w:divBdr>
                <w:top w:val="none" w:sz="0" w:space="0" w:color="auto"/>
                <w:left w:val="none" w:sz="0" w:space="0" w:color="auto"/>
                <w:bottom w:val="none" w:sz="0" w:space="0" w:color="auto"/>
                <w:right w:val="none" w:sz="0" w:space="0" w:color="auto"/>
              </w:divBdr>
            </w:div>
            <w:div w:id="2063946081">
              <w:marLeft w:val="0"/>
              <w:marRight w:val="0"/>
              <w:marTop w:val="0"/>
              <w:marBottom w:val="0"/>
              <w:divBdr>
                <w:top w:val="none" w:sz="0" w:space="0" w:color="auto"/>
                <w:left w:val="none" w:sz="0" w:space="0" w:color="auto"/>
                <w:bottom w:val="none" w:sz="0" w:space="0" w:color="auto"/>
                <w:right w:val="none" w:sz="0" w:space="0" w:color="auto"/>
              </w:divBdr>
            </w:div>
            <w:div w:id="2063946082">
              <w:marLeft w:val="0"/>
              <w:marRight w:val="0"/>
              <w:marTop w:val="0"/>
              <w:marBottom w:val="0"/>
              <w:divBdr>
                <w:top w:val="none" w:sz="0" w:space="0" w:color="auto"/>
                <w:left w:val="none" w:sz="0" w:space="0" w:color="auto"/>
                <w:bottom w:val="none" w:sz="0" w:space="0" w:color="auto"/>
                <w:right w:val="none" w:sz="0" w:space="0" w:color="auto"/>
              </w:divBdr>
            </w:div>
            <w:div w:id="2063946083">
              <w:marLeft w:val="0"/>
              <w:marRight w:val="0"/>
              <w:marTop w:val="0"/>
              <w:marBottom w:val="0"/>
              <w:divBdr>
                <w:top w:val="none" w:sz="0" w:space="0" w:color="auto"/>
                <w:left w:val="none" w:sz="0" w:space="0" w:color="auto"/>
                <w:bottom w:val="none" w:sz="0" w:space="0" w:color="auto"/>
                <w:right w:val="none" w:sz="0" w:space="0" w:color="auto"/>
              </w:divBdr>
            </w:div>
            <w:div w:id="2063946084">
              <w:marLeft w:val="0"/>
              <w:marRight w:val="0"/>
              <w:marTop w:val="0"/>
              <w:marBottom w:val="0"/>
              <w:divBdr>
                <w:top w:val="none" w:sz="0" w:space="0" w:color="auto"/>
                <w:left w:val="none" w:sz="0" w:space="0" w:color="auto"/>
                <w:bottom w:val="none" w:sz="0" w:space="0" w:color="auto"/>
                <w:right w:val="none" w:sz="0" w:space="0" w:color="auto"/>
              </w:divBdr>
            </w:div>
            <w:div w:id="2063946085">
              <w:marLeft w:val="0"/>
              <w:marRight w:val="0"/>
              <w:marTop w:val="0"/>
              <w:marBottom w:val="0"/>
              <w:divBdr>
                <w:top w:val="none" w:sz="0" w:space="0" w:color="auto"/>
                <w:left w:val="none" w:sz="0" w:space="0" w:color="auto"/>
                <w:bottom w:val="none" w:sz="0" w:space="0" w:color="auto"/>
                <w:right w:val="none" w:sz="0" w:space="0" w:color="auto"/>
              </w:divBdr>
            </w:div>
            <w:div w:id="2063946086">
              <w:marLeft w:val="0"/>
              <w:marRight w:val="0"/>
              <w:marTop w:val="0"/>
              <w:marBottom w:val="0"/>
              <w:divBdr>
                <w:top w:val="none" w:sz="0" w:space="0" w:color="auto"/>
                <w:left w:val="none" w:sz="0" w:space="0" w:color="auto"/>
                <w:bottom w:val="none" w:sz="0" w:space="0" w:color="auto"/>
                <w:right w:val="none" w:sz="0" w:space="0" w:color="auto"/>
              </w:divBdr>
            </w:div>
            <w:div w:id="2063946087">
              <w:marLeft w:val="0"/>
              <w:marRight w:val="0"/>
              <w:marTop w:val="0"/>
              <w:marBottom w:val="0"/>
              <w:divBdr>
                <w:top w:val="none" w:sz="0" w:space="0" w:color="auto"/>
                <w:left w:val="none" w:sz="0" w:space="0" w:color="auto"/>
                <w:bottom w:val="none" w:sz="0" w:space="0" w:color="auto"/>
                <w:right w:val="none" w:sz="0" w:space="0" w:color="auto"/>
              </w:divBdr>
            </w:div>
            <w:div w:id="2063946088">
              <w:marLeft w:val="0"/>
              <w:marRight w:val="0"/>
              <w:marTop w:val="0"/>
              <w:marBottom w:val="0"/>
              <w:divBdr>
                <w:top w:val="none" w:sz="0" w:space="0" w:color="auto"/>
                <w:left w:val="none" w:sz="0" w:space="0" w:color="auto"/>
                <w:bottom w:val="none" w:sz="0" w:space="0" w:color="auto"/>
                <w:right w:val="none" w:sz="0" w:space="0" w:color="auto"/>
              </w:divBdr>
            </w:div>
            <w:div w:id="2063946089">
              <w:marLeft w:val="0"/>
              <w:marRight w:val="0"/>
              <w:marTop w:val="0"/>
              <w:marBottom w:val="0"/>
              <w:divBdr>
                <w:top w:val="none" w:sz="0" w:space="0" w:color="auto"/>
                <w:left w:val="none" w:sz="0" w:space="0" w:color="auto"/>
                <w:bottom w:val="none" w:sz="0" w:space="0" w:color="auto"/>
                <w:right w:val="none" w:sz="0" w:space="0" w:color="auto"/>
              </w:divBdr>
            </w:div>
            <w:div w:id="2063946090">
              <w:marLeft w:val="0"/>
              <w:marRight w:val="0"/>
              <w:marTop w:val="0"/>
              <w:marBottom w:val="0"/>
              <w:divBdr>
                <w:top w:val="none" w:sz="0" w:space="0" w:color="auto"/>
                <w:left w:val="none" w:sz="0" w:space="0" w:color="auto"/>
                <w:bottom w:val="none" w:sz="0" w:space="0" w:color="auto"/>
                <w:right w:val="none" w:sz="0" w:space="0" w:color="auto"/>
              </w:divBdr>
            </w:div>
            <w:div w:id="2063946091">
              <w:marLeft w:val="0"/>
              <w:marRight w:val="0"/>
              <w:marTop w:val="0"/>
              <w:marBottom w:val="0"/>
              <w:divBdr>
                <w:top w:val="none" w:sz="0" w:space="0" w:color="auto"/>
                <w:left w:val="none" w:sz="0" w:space="0" w:color="auto"/>
                <w:bottom w:val="none" w:sz="0" w:space="0" w:color="auto"/>
                <w:right w:val="none" w:sz="0" w:space="0" w:color="auto"/>
              </w:divBdr>
            </w:div>
            <w:div w:id="2063946092">
              <w:marLeft w:val="0"/>
              <w:marRight w:val="0"/>
              <w:marTop w:val="0"/>
              <w:marBottom w:val="0"/>
              <w:divBdr>
                <w:top w:val="none" w:sz="0" w:space="0" w:color="auto"/>
                <w:left w:val="none" w:sz="0" w:space="0" w:color="auto"/>
                <w:bottom w:val="none" w:sz="0" w:space="0" w:color="auto"/>
                <w:right w:val="none" w:sz="0" w:space="0" w:color="auto"/>
              </w:divBdr>
            </w:div>
            <w:div w:id="2063946094">
              <w:marLeft w:val="0"/>
              <w:marRight w:val="0"/>
              <w:marTop w:val="0"/>
              <w:marBottom w:val="0"/>
              <w:divBdr>
                <w:top w:val="none" w:sz="0" w:space="0" w:color="auto"/>
                <w:left w:val="none" w:sz="0" w:space="0" w:color="auto"/>
                <w:bottom w:val="none" w:sz="0" w:space="0" w:color="auto"/>
                <w:right w:val="none" w:sz="0" w:space="0" w:color="auto"/>
              </w:divBdr>
            </w:div>
            <w:div w:id="2063946095">
              <w:marLeft w:val="0"/>
              <w:marRight w:val="0"/>
              <w:marTop w:val="0"/>
              <w:marBottom w:val="0"/>
              <w:divBdr>
                <w:top w:val="none" w:sz="0" w:space="0" w:color="auto"/>
                <w:left w:val="none" w:sz="0" w:space="0" w:color="auto"/>
                <w:bottom w:val="none" w:sz="0" w:space="0" w:color="auto"/>
                <w:right w:val="none" w:sz="0" w:space="0" w:color="auto"/>
              </w:divBdr>
            </w:div>
            <w:div w:id="2063946096">
              <w:marLeft w:val="0"/>
              <w:marRight w:val="0"/>
              <w:marTop w:val="0"/>
              <w:marBottom w:val="0"/>
              <w:divBdr>
                <w:top w:val="none" w:sz="0" w:space="0" w:color="auto"/>
                <w:left w:val="none" w:sz="0" w:space="0" w:color="auto"/>
                <w:bottom w:val="none" w:sz="0" w:space="0" w:color="auto"/>
                <w:right w:val="none" w:sz="0" w:space="0" w:color="auto"/>
              </w:divBdr>
            </w:div>
            <w:div w:id="2063946097">
              <w:marLeft w:val="0"/>
              <w:marRight w:val="0"/>
              <w:marTop w:val="0"/>
              <w:marBottom w:val="0"/>
              <w:divBdr>
                <w:top w:val="none" w:sz="0" w:space="0" w:color="auto"/>
                <w:left w:val="none" w:sz="0" w:space="0" w:color="auto"/>
                <w:bottom w:val="none" w:sz="0" w:space="0" w:color="auto"/>
                <w:right w:val="none" w:sz="0" w:space="0" w:color="auto"/>
              </w:divBdr>
            </w:div>
            <w:div w:id="2063946098">
              <w:marLeft w:val="0"/>
              <w:marRight w:val="0"/>
              <w:marTop w:val="0"/>
              <w:marBottom w:val="0"/>
              <w:divBdr>
                <w:top w:val="none" w:sz="0" w:space="0" w:color="auto"/>
                <w:left w:val="none" w:sz="0" w:space="0" w:color="auto"/>
                <w:bottom w:val="none" w:sz="0" w:space="0" w:color="auto"/>
                <w:right w:val="none" w:sz="0" w:space="0" w:color="auto"/>
              </w:divBdr>
            </w:div>
            <w:div w:id="2063946099">
              <w:marLeft w:val="0"/>
              <w:marRight w:val="0"/>
              <w:marTop w:val="0"/>
              <w:marBottom w:val="0"/>
              <w:divBdr>
                <w:top w:val="none" w:sz="0" w:space="0" w:color="auto"/>
                <w:left w:val="none" w:sz="0" w:space="0" w:color="auto"/>
                <w:bottom w:val="none" w:sz="0" w:space="0" w:color="auto"/>
                <w:right w:val="none" w:sz="0" w:space="0" w:color="auto"/>
              </w:divBdr>
            </w:div>
            <w:div w:id="2063946100">
              <w:marLeft w:val="0"/>
              <w:marRight w:val="0"/>
              <w:marTop w:val="0"/>
              <w:marBottom w:val="0"/>
              <w:divBdr>
                <w:top w:val="none" w:sz="0" w:space="0" w:color="auto"/>
                <w:left w:val="none" w:sz="0" w:space="0" w:color="auto"/>
                <w:bottom w:val="none" w:sz="0" w:space="0" w:color="auto"/>
                <w:right w:val="none" w:sz="0" w:space="0" w:color="auto"/>
              </w:divBdr>
            </w:div>
            <w:div w:id="2063946101">
              <w:marLeft w:val="0"/>
              <w:marRight w:val="0"/>
              <w:marTop w:val="0"/>
              <w:marBottom w:val="0"/>
              <w:divBdr>
                <w:top w:val="none" w:sz="0" w:space="0" w:color="auto"/>
                <w:left w:val="none" w:sz="0" w:space="0" w:color="auto"/>
                <w:bottom w:val="none" w:sz="0" w:space="0" w:color="auto"/>
                <w:right w:val="none" w:sz="0" w:space="0" w:color="auto"/>
              </w:divBdr>
            </w:div>
            <w:div w:id="2063946102">
              <w:marLeft w:val="0"/>
              <w:marRight w:val="0"/>
              <w:marTop w:val="0"/>
              <w:marBottom w:val="0"/>
              <w:divBdr>
                <w:top w:val="none" w:sz="0" w:space="0" w:color="auto"/>
                <w:left w:val="none" w:sz="0" w:space="0" w:color="auto"/>
                <w:bottom w:val="none" w:sz="0" w:space="0" w:color="auto"/>
                <w:right w:val="none" w:sz="0" w:space="0" w:color="auto"/>
              </w:divBdr>
            </w:div>
            <w:div w:id="2063946103">
              <w:marLeft w:val="0"/>
              <w:marRight w:val="0"/>
              <w:marTop w:val="0"/>
              <w:marBottom w:val="0"/>
              <w:divBdr>
                <w:top w:val="none" w:sz="0" w:space="0" w:color="auto"/>
                <w:left w:val="none" w:sz="0" w:space="0" w:color="auto"/>
                <w:bottom w:val="none" w:sz="0" w:space="0" w:color="auto"/>
                <w:right w:val="none" w:sz="0" w:space="0" w:color="auto"/>
              </w:divBdr>
            </w:div>
            <w:div w:id="2063946104">
              <w:marLeft w:val="0"/>
              <w:marRight w:val="0"/>
              <w:marTop w:val="0"/>
              <w:marBottom w:val="0"/>
              <w:divBdr>
                <w:top w:val="none" w:sz="0" w:space="0" w:color="auto"/>
                <w:left w:val="none" w:sz="0" w:space="0" w:color="auto"/>
                <w:bottom w:val="none" w:sz="0" w:space="0" w:color="auto"/>
                <w:right w:val="none" w:sz="0" w:space="0" w:color="auto"/>
              </w:divBdr>
            </w:div>
            <w:div w:id="2063946105">
              <w:marLeft w:val="0"/>
              <w:marRight w:val="0"/>
              <w:marTop w:val="0"/>
              <w:marBottom w:val="0"/>
              <w:divBdr>
                <w:top w:val="none" w:sz="0" w:space="0" w:color="auto"/>
                <w:left w:val="none" w:sz="0" w:space="0" w:color="auto"/>
                <w:bottom w:val="none" w:sz="0" w:space="0" w:color="auto"/>
                <w:right w:val="none" w:sz="0" w:space="0" w:color="auto"/>
              </w:divBdr>
            </w:div>
            <w:div w:id="2063946106">
              <w:marLeft w:val="0"/>
              <w:marRight w:val="0"/>
              <w:marTop w:val="0"/>
              <w:marBottom w:val="0"/>
              <w:divBdr>
                <w:top w:val="none" w:sz="0" w:space="0" w:color="auto"/>
                <w:left w:val="none" w:sz="0" w:space="0" w:color="auto"/>
                <w:bottom w:val="none" w:sz="0" w:space="0" w:color="auto"/>
                <w:right w:val="none" w:sz="0" w:space="0" w:color="auto"/>
              </w:divBdr>
            </w:div>
            <w:div w:id="2063946107">
              <w:marLeft w:val="0"/>
              <w:marRight w:val="0"/>
              <w:marTop w:val="0"/>
              <w:marBottom w:val="0"/>
              <w:divBdr>
                <w:top w:val="none" w:sz="0" w:space="0" w:color="auto"/>
                <w:left w:val="none" w:sz="0" w:space="0" w:color="auto"/>
                <w:bottom w:val="none" w:sz="0" w:space="0" w:color="auto"/>
                <w:right w:val="none" w:sz="0" w:space="0" w:color="auto"/>
              </w:divBdr>
            </w:div>
            <w:div w:id="2063946108">
              <w:marLeft w:val="0"/>
              <w:marRight w:val="0"/>
              <w:marTop w:val="0"/>
              <w:marBottom w:val="0"/>
              <w:divBdr>
                <w:top w:val="none" w:sz="0" w:space="0" w:color="auto"/>
                <w:left w:val="none" w:sz="0" w:space="0" w:color="auto"/>
                <w:bottom w:val="none" w:sz="0" w:space="0" w:color="auto"/>
                <w:right w:val="none" w:sz="0" w:space="0" w:color="auto"/>
              </w:divBdr>
            </w:div>
            <w:div w:id="2063946109">
              <w:marLeft w:val="0"/>
              <w:marRight w:val="0"/>
              <w:marTop w:val="0"/>
              <w:marBottom w:val="0"/>
              <w:divBdr>
                <w:top w:val="none" w:sz="0" w:space="0" w:color="auto"/>
                <w:left w:val="none" w:sz="0" w:space="0" w:color="auto"/>
                <w:bottom w:val="none" w:sz="0" w:space="0" w:color="auto"/>
                <w:right w:val="none" w:sz="0" w:space="0" w:color="auto"/>
              </w:divBdr>
            </w:div>
            <w:div w:id="2063946110">
              <w:marLeft w:val="0"/>
              <w:marRight w:val="0"/>
              <w:marTop w:val="0"/>
              <w:marBottom w:val="0"/>
              <w:divBdr>
                <w:top w:val="none" w:sz="0" w:space="0" w:color="auto"/>
                <w:left w:val="none" w:sz="0" w:space="0" w:color="auto"/>
                <w:bottom w:val="none" w:sz="0" w:space="0" w:color="auto"/>
                <w:right w:val="none" w:sz="0" w:space="0" w:color="auto"/>
              </w:divBdr>
            </w:div>
            <w:div w:id="2063946111">
              <w:marLeft w:val="0"/>
              <w:marRight w:val="0"/>
              <w:marTop w:val="0"/>
              <w:marBottom w:val="0"/>
              <w:divBdr>
                <w:top w:val="none" w:sz="0" w:space="0" w:color="auto"/>
                <w:left w:val="none" w:sz="0" w:space="0" w:color="auto"/>
                <w:bottom w:val="none" w:sz="0" w:space="0" w:color="auto"/>
                <w:right w:val="none" w:sz="0" w:space="0" w:color="auto"/>
              </w:divBdr>
            </w:div>
            <w:div w:id="2063946112">
              <w:marLeft w:val="0"/>
              <w:marRight w:val="0"/>
              <w:marTop w:val="0"/>
              <w:marBottom w:val="0"/>
              <w:divBdr>
                <w:top w:val="none" w:sz="0" w:space="0" w:color="auto"/>
                <w:left w:val="none" w:sz="0" w:space="0" w:color="auto"/>
                <w:bottom w:val="none" w:sz="0" w:space="0" w:color="auto"/>
                <w:right w:val="none" w:sz="0" w:space="0" w:color="auto"/>
              </w:divBdr>
            </w:div>
            <w:div w:id="2063946113">
              <w:marLeft w:val="0"/>
              <w:marRight w:val="0"/>
              <w:marTop w:val="0"/>
              <w:marBottom w:val="0"/>
              <w:divBdr>
                <w:top w:val="none" w:sz="0" w:space="0" w:color="auto"/>
                <w:left w:val="none" w:sz="0" w:space="0" w:color="auto"/>
                <w:bottom w:val="none" w:sz="0" w:space="0" w:color="auto"/>
                <w:right w:val="none" w:sz="0" w:space="0" w:color="auto"/>
              </w:divBdr>
            </w:div>
            <w:div w:id="2063946114">
              <w:marLeft w:val="0"/>
              <w:marRight w:val="0"/>
              <w:marTop w:val="0"/>
              <w:marBottom w:val="0"/>
              <w:divBdr>
                <w:top w:val="none" w:sz="0" w:space="0" w:color="auto"/>
                <w:left w:val="none" w:sz="0" w:space="0" w:color="auto"/>
                <w:bottom w:val="none" w:sz="0" w:space="0" w:color="auto"/>
                <w:right w:val="none" w:sz="0" w:space="0" w:color="auto"/>
              </w:divBdr>
            </w:div>
            <w:div w:id="2063946115">
              <w:marLeft w:val="0"/>
              <w:marRight w:val="0"/>
              <w:marTop w:val="0"/>
              <w:marBottom w:val="0"/>
              <w:divBdr>
                <w:top w:val="none" w:sz="0" w:space="0" w:color="auto"/>
                <w:left w:val="none" w:sz="0" w:space="0" w:color="auto"/>
                <w:bottom w:val="none" w:sz="0" w:space="0" w:color="auto"/>
                <w:right w:val="none" w:sz="0" w:space="0" w:color="auto"/>
              </w:divBdr>
            </w:div>
            <w:div w:id="2063946116">
              <w:marLeft w:val="0"/>
              <w:marRight w:val="0"/>
              <w:marTop w:val="0"/>
              <w:marBottom w:val="0"/>
              <w:divBdr>
                <w:top w:val="none" w:sz="0" w:space="0" w:color="auto"/>
                <w:left w:val="none" w:sz="0" w:space="0" w:color="auto"/>
                <w:bottom w:val="none" w:sz="0" w:space="0" w:color="auto"/>
                <w:right w:val="none" w:sz="0" w:space="0" w:color="auto"/>
              </w:divBdr>
            </w:div>
            <w:div w:id="2063946117">
              <w:marLeft w:val="0"/>
              <w:marRight w:val="0"/>
              <w:marTop w:val="0"/>
              <w:marBottom w:val="0"/>
              <w:divBdr>
                <w:top w:val="none" w:sz="0" w:space="0" w:color="auto"/>
                <w:left w:val="none" w:sz="0" w:space="0" w:color="auto"/>
                <w:bottom w:val="none" w:sz="0" w:space="0" w:color="auto"/>
                <w:right w:val="none" w:sz="0" w:space="0" w:color="auto"/>
              </w:divBdr>
            </w:div>
            <w:div w:id="2063946118">
              <w:marLeft w:val="0"/>
              <w:marRight w:val="0"/>
              <w:marTop w:val="0"/>
              <w:marBottom w:val="0"/>
              <w:divBdr>
                <w:top w:val="none" w:sz="0" w:space="0" w:color="auto"/>
                <w:left w:val="none" w:sz="0" w:space="0" w:color="auto"/>
                <w:bottom w:val="none" w:sz="0" w:space="0" w:color="auto"/>
                <w:right w:val="none" w:sz="0" w:space="0" w:color="auto"/>
              </w:divBdr>
            </w:div>
            <w:div w:id="2063946119">
              <w:marLeft w:val="0"/>
              <w:marRight w:val="0"/>
              <w:marTop w:val="0"/>
              <w:marBottom w:val="0"/>
              <w:divBdr>
                <w:top w:val="none" w:sz="0" w:space="0" w:color="auto"/>
                <w:left w:val="none" w:sz="0" w:space="0" w:color="auto"/>
                <w:bottom w:val="none" w:sz="0" w:space="0" w:color="auto"/>
                <w:right w:val="none" w:sz="0" w:space="0" w:color="auto"/>
              </w:divBdr>
            </w:div>
            <w:div w:id="2063946120">
              <w:marLeft w:val="0"/>
              <w:marRight w:val="0"/>
              <w:marTop w:val="0"/>
              <w:marBottom w:val="0"/>
              <w:divBdr>
                <w:top w:val="none" w:sz="0" w:space="0" w:color="auto"/>
                <w:left w:val="none" w:sz="0" w:space="0" w:color="auto"/>
                <w:bottom w:val="none" w:sz="0" w:space="0" w:color="auto"/>
                <w:right w:val="none" w:sz="0" w:space="0" w:color="auto"/>
              </w:divBdr>
            </w:div>
            <w:div w:id="2063946121">
              <w:marLeft w:val="0"/>
              <w:marRight w:val="0"/>
              <w:marTop w:val="0"/>
              <w:marBottom w:val="0"/>
              <w:divBdr>
                <w:top w:val="none" w:sz="0" w:space="0" w:color="auto"/>
                <w:left w:val="none" w:sz="0" w:space="0" w:color="auto"/>
                <w:bottom w:val="none" w:sz="0" w:space="0" w:color="auto"/>
                <w:right w:val="none" w:sz="0" w:space="0" w:color="auto"/>
              </w:divBdr>
            </w:div>
            <w:div w:id="2063946122">
              <w:marLeft w:val="0"/>
              <w:marRight w:val="0"/>
              <w:marTop w:val="0"/>
              <w:marBottom w:val="0"/>
              <w:divBdr>
                <w:top w:val="none" w:sz="0" w:space="0" w:color="auto"/>
                <w:left w:val="none" w:sz="0" w:space="0" w:color="auto"/>
                <w:bottom w:val="none" w:sz="0" w:space="0" w:color="auto"/>
                <w:right w:val="none" w:sz="0" w:space="0" w:color="auto"/>
              </w:divBdr>
            </w:div>
            <w:div w:id="2063946123">
              <w:marLeft w:val="0"/>
              <w:marRight w:val="0"/>
              <w:marTop w:val="0"/>
              <w:marBottom w:val="0"/>
              <w:divBdr>
                <w:top w:val="none" w:sz="0" w:space="0" w:color="auto"/>
                <w:left w:val="none" w:sz="0" w:space="0" w:color="auto"/>
                <w:bottom w:val="none" w:sz="0" w:space="0" w:color="auto"/>
                <w:right w:val="none" w:sz="0" w:space="0" w:color="auto"/>
              </w:divBdr>
            </w:div>
            <w:div w:id="2063946124">
              <w:marLeft w:val="0"/>
              <w:marRight w:val="0"/>
              <w:marTop w:val="0"/>
              <w:marBottom w:val="0"/>
              <w:divBdr>
                <w:top w:val="none" w:sz="0" w:space="0" w:color="auto"/>
                <w:left w:val="none" w:sz="0" w:space="0" w:color="auto"/>
                <w:bottom w:val="none" w:sz="0" w:space="0" w:color="auto"/>
                <w:right w:val="none" w:sz="0" w:space="0" w:color="auto"/>
              </w:divBdr>
            </w:div>
            <w:div w:id="2063946125">
              <w:marLeft w:val="0"/>
              <w:marRight w:val="0"/>
              <w:marTop w:val="0"/>
              <w:marBottom w:val="0"/>
              <w:divBdr>
                <w:top w:val="none" w:sz="0" w:space="0" w:color="auto"/>
                <w:left w:val="none" w:sz="0" w:space="0" w:color="auto"/>
                <w:bottom w:val="none" w:sz="0" w:space="0" w:color="auto"/>
                <w:right w:val="none" w:sz="0" w:space="0" w:color="auto"/>
              </w:divBdr>
            </w:div>
            <w:div w:id="2063946126">
              <w:marLeft w:val="0"/>
              <w:marRight w:val="0"/>
              <w:marTop w:val="0"/>
              <w:marBottom w:val="0"/>
              <w:divBdr>
                <w:top w:val="none" w:sz="0" w:space="0" w:color="auto"/>
                <w:left w:val="none" w:sz="0" w:space="0" w:color="auto"/>
                <w:bottom w:val="none" w:sz="0" w:space="0" w:color="auto"/>
                <w:right w:val="none" w:sz="0" w:space="0" w:color="auto"/>
              </w:divBdr>
            </w:div>
            <w:div w:id="2063946127">
              <w:marLeft w:val="0"/>
              <w:marRight w:val="0"/>
              <w:marTop w:val="0"/>
              <w:marBottom w:val="0"/>
              <w:divBdr>
                <w:top w:val="none" w:sz="0" w:space="0" w:color="auto"/>
                <w:left w:val="none" w:sz="0" w:space="0" w:color="auto"/>
                <w:bottom w:val="none" w:sz="0" w:space="0" w:color="auto"/>
                <w:right w:val="none" w:sz="0" w:space="0" w:color="auto"/>
              </w:divBdr>
            </w:div>
            <w:div w:id="2063946128">
              <w:marLeft w:val="0"/>
              <w:marRight w:val="0"/>
              <w:marTop w:val="0"/>
              <w:marBottom w:val="0"/>
              <w:divBdr>
                <w:top w:val="none" w:sz="0" w:space="0" w:color="auto"/>
                <w:left w:val="none" w:sz="0" w:space="0" w:color="auto"/>
                <w:bottom w:val="none" w:sz="0" w:space="0" w:color="auto"/>
                <w:right w:val="none" w:sz="0" w:space="0" w:color="auto"/>
              </w:divBdr>
            </w:div>
            <w:div w:id="2063946130">
              <w:marLeft w:val="0"/>
              <w:marRight w:val="0"/>
              <w:marTop w:val="0"/>
              <w:marBottom w:val="0"/>
              <w:divBdr>
                <w:top w:val="none" w:sz="0" w:space="0" w:color="auto"/>
                <w:left w:val="none" w:sz="0" w:space="0" w:color="auto"/>
                <w:bottom w:val="none" w:sz="0" w:space="0" w:color="auto"/>
                <w:right w:val="none" w:sz="0" w:space="0" w:color="auto"/>
              </w:divBdr>
            </w:div>
            <w:div w:id="2063946131">
              <w:marLeft w:val="0"/>
              <w:marRight w:val="0"/>
              <w:marTop w:val="0"/>
              <w:marBottom w:val="0"/>
              <w:divBdr>
                <w:top w:val="none" w:sz="0" w:space="0" w:color="auto"/>
                <w:left w:val="none" w:sz="0" w:space="0" w:color="auto"/>
                <w:bottom w:val="none" w:sz="0" w:space="0" w:color="auto"/>
                <w:right w:val="none" w:sz="0" w:space="0" w:color="auto"/>
              </w:divBdr>
            </w:div>
            <w:div w:id="2063946132">
              <w:marLeft w:val="0"/>
              <w:marRight w:val="0"/>
              <w:marTop w:val="0"/>
              <w:marBottom w:val="0"/>
              <w:divBdr>
                <w:top w:val="none" w:sz="0" w:space="0" w:color="auto"/>
                <w:left w:val="none" w:sz="0" w:space="0" w:color="auto"/>
                <w:bottom w:val="none" w:sz="0" w:space="0" w:color="auto"/>
                <w:right w:val="none" w:sz="0" w:space="0" w:color="auto"/>
              </w:divBdr>
            </w:div>
            <w:div w:id="2063946133">
              <w:marLeft w:val="0"/>
              <w:marRight w:val="0"/>
              <w:marTop w:val="0"/>
              <w:marBottom w:val="0"/>
              <w:divBdr>
                <w:top w:val="none" w:sz="0" w:space="0" w:color="auto"/>
                <w:left w:val="none" w:sz="0" w:space="0" w:color="auto"/>
                <w:bottom w:val="none" w:sz="0" w:space="0" w:color="auto"/>
                <w:right w:val="none" w:sz="0" w:space="0" w:color="auto"/>
              </w:divBdr>
            </w:div>
            <w:div w:id="2063946134">
              <w:marLeft w:val="0"/>
              <w:marRight w:val="0"/>
              <w:marTop w:val="0"/>
              <w:marBottom w:val="0"/>
              <w:divBdr>
                <w:top w:val="none" w:sz="0" w:space="0" w:color="auto"/>
                <w:left w:val="none" w:sz="0" w:space="0" w:color="auto"/>
                <w:bottom w:val="none" w:sz="0" w:space="0" w:color="auto"/>
                <w:right w:val="none" w:sz="0" w:space="0" w:color="auto"/>
              </w:divBdr>
            </w:div>
            <w:div w:id="2063946135">
              <w:marLeft w:val="0"/>
              <w:marRight w:val="0"/>
              <w:marTop w:val="0"/>
              <w:marBottom w:val="0"/>
              <w:divBdr>
                <w:top w:val="none" w:sz="0" w:space="0" w:color="auto"/>
                <w:left w:val="none" w:sz="0" w:space="0" w:color="auto"/>
                <w:bottom w:val="none" w:sz="0" w:space="0" w:color="auto"/>
                <w:right w:val="none" w:sz="0" w:space="0" w:color="auto"/>
              </w:divBdr>
            </w:div>
            <w:div w:id="2063946136">
              <w:marLeft w:val="0"/>
              <w:marRight w:val="0"/>
              <w:marTop w:val="0"/>
              <w:marBottom w:val="0"/>
              <w:divBdr>
                <w:top w:val="none" w:sz="0" w:space="0" w:color="auto"/>
                <w:left w:val="none" w:sz="0" w:space="0" w:color="auto"/>
                <w:bottom w:val="none" w:sz="0" w:space="0" w:color="auto"/>
                <w:right w:val="none" w:sz="0" w:space="0" w:color="auto"/>
              </w:divBdr>
            </w:div>
            <w:div w:id="2063946137">
              <w:marLeft w:val="0"/>
              <w:marRight w:val="0"/>
              <w:marTop w:val="0"/>
              <w:marBottom w:val="0"/>
              <w:divBdr>
                <w:top w:val="none" w:sz="0" w:space="0" w:color="auto"/>
                <w:left w:val="none" w:sz="0" w:space="0" w:color="auto"/>
                <w:bottom w:val="none" w:sz="0" w:space="0" w:color="auto"/>
                <w:right w:val="none" w:sz="0" w:space="0" w:color="auto"/>
              </w:divBdr>
            </w:div>
            <w:div w:id="2063946138">
              <w:marLeft w:val="0"/>
              <w:marRight w:val="0"/>
              <w:marTop w:val="0"/>
              <w:marBottom w:val="0"/>
              <w:divBdr>
                <w:top w:val="none" w:sz="0" w:space="0" w:color="auto"/>
                <w:left w:val="none" w:sz="0" w:space="0" w:color="auto"/>
                <w:bottom w:val="none" w:sz="0" w:space="0" w:color="auto"/>
                <w:right w:val="none" w:sz="0" w:space="0" w:color="auto"/>
              </w:divBdr>
            </w:div>
            <w:div w:id="2063946139">
              <w:marLeft w:val="0"/>
              <w:marRight w:val="0"/>
              <w:marTop w:val="0"/>
              <w:marBottom w:val="0"/>
              <w:divBdr>
                <w:top w:val="none" w:sz="0" w:space="0" w:color="auto"/>
                <w:left w:val="none" w:sz="0" w:space="0" w:color="auto"/>
                <w:bottom w:val="none" w:sz="0" w:space="0" w:color="auto"/>
                <w:right w:val="none" w:sz="0" w:space="0" w:color="auto"/>
              </w:divBdr>
            </w:div>
            <w:div w:id="2063946140">
              <w:marLeft w:val="0"/>
              <w:marRight w:val="0"/>
              <w:marTop w:val="0"/>
              <w:marBottom w:val="0"/>
              <w:divBdr>
                <w:top w:val="none" w:sz="0" w:space="0" w:color="auto"/>
                <w:left w:val="none" w:sz="0" w:space="0" w:color="auto"/>
                <w:bottom w:val="none" w:sz="0" w:space="0" w:color="auto"/>
                <w:right w:val="none" w:sz="0" w:space="0" w:color="auto"/>
              </w:divBdr>
            </w:div>
            <w:div w:id="2063946141">
              <w:marLeft w:val="0"/>
              <w:marRight w:val="0"/>
              <w:marTop w:val="0"/>
              <w:marBottom w:val="0"/>
              <w:divBdr>
                <w:top w:val="none" w:sz="0" w:space="0" w:color="auto"/>
                <w:left w:val="none" w:sz="0" w:space="0" w:color="auto"/>
                <w:bottom w:val="none" w:sz="0" w:space="0" w:color="auto"/>
                <w:right w:val="none" w:sz="0" w:space="0" w:color="auto"/>
              </w:divBdr>
            </w:div>
            <w:div w:id="2063946142">
              <w:marLeft w:val="0"/>
              <w:marRight w:val="0"/>
              <w:marTop w:val="0"/>
              <w:marBottom w:val="0"/>
              <w:divBdr>
                <w:top w:val="none" w:sz="0" w:space="0" w:color="auto"/>
                <w:left w:val="none" w:sz="0" w:space="0" w:color="auto"/>
                <w:bottom w:val="none" w:sz="0" w:space="0" w:color="auto"/>
                <w:right w:val="none" w:sz="0" w:space="0" w:color="auto"/>
              </w:divBdr>
            </w:div>
            <w:div w:id="2063946143">
              <w:marLeft w:val="0"/>
              <w:marRight w:val="0"/>
              <w:marTop w:val="0"/>
              <w:marBottom w:val="0"/>
              <w:divBdr>
                <w:top w:val="none" w:sz="0" w:space="0" w:color="auto"/>
                <w:left w:val="none" w:sz="0" w:space="0" w:color="auto"/>
                <w:bottom w:val="none" w:sz="0" w:space="0" w:color="auto"/>
                <w:right w:val="none" w:sz="0" w:space="0" w:color="auto"/>
              </w:divBdr>
            </w:div>
            <w:div w:id="2063946144">
              <w:marLeft w:val="0"/>
              <w:marRight w:val="0"/>
              <w:marTop w:val="0"/>
              <w:marBottom w:val="0"/>
              <w:divBdr>
                <w:top w:val="none" w:sz="0" w:space="0" w:color="auto"/>
                <w:left w:val="none" w:sz="0" w:space="0" w:color="auto"/>
                <w:bottom w:val="none" w:sz="0" w:space="0" w:color="auto"/>
                <w:right w:val="none" w:sz="0" w:space="0" w:color="auto"/>
              </w:divBdr>
            </w:div>
            <w:div w:id="2063946146">
              <w:marLeft w:val="0"/>
              <w:marRight w:val="0"/>
              <w:marTop w:val="0"/>
              <w:marBottom w:val="0"/>
              <w:divBdr>
                <w:top w:val="none" w:sz="0" w:space="0" w:color="auto"/>
                <w:left w:val="none" w:sz="0" w:space="0" w:color="auto"/>
                <w:bottom w:val="none" w:sz="0" w:space="0" w:color="auto"/>
                <w:right w:val="none" w:sz="0" w:space="0" w:color="auto"/>
              </w:divBdr>
            </w:div>
            <w:div w:id="2063946147">
              <w:marLeft w:val="0"/>
              <w:marRight w:val="0"/>
              <w:marTop w:val="0"/>
              <w:marBottom w:val="0"/>
              <w:divBdr>
                <w:top w:val="none" w:sz="0" w:space="0" w:color="auto"/>
                <w:left w:val="none" w:sz="0" w:space="0" w:color="auto"/>
                <w:bottom w:val="none" w:sz="0" w:space="0" w:color="auto"/>
                <w:right w:val="none" w:sz="0" w:space="0" w:color="auto"/>
              </w:divBdr>
            </w:div>
            <w:div w:id="2063946148">
              <w:marLeft w:val="0"/>
              <w:marRight w:val="0"/>
              <w:marTop w:val="0"/>
              <w:marBottom w:val="0"/>
              <w:divBdr>
                <w:top w:val="none" w:sz="0" w:space="0" w:color="auto"/>
                <w:left w:val="none" w:sz="0" w:space="0" w:color="auto"/>
                <w:bottom w:val="none" w:sz="0" w:space="0" w:color="auto"/>
                <w:right w:val="none" w:sz="0" w:space="0" w:color="auto"/>
              </w:divBdr>
            </w:div>
            <w:div w:id="2063946149">
              <w:marLeft w:val="0"/>
              <w:marRight w:val="0"/>
              <w:marTop w:val="0"/>
              <w:marBottom w:val="0"/>
              <w:divBdr>
                <w:top w:val="none" w:sz="0" w:space="0" w:color="auto"/>
                <w:left w:val="none" w:sz="0" w:space="0" w:color="auto"/>
                <w:bottom w:val="none" w:sz="0" w:space="0" w:color="auto"/>
                <w:right w:val="none" w:sz="0" w:space="0" w:color="auto"/>
              </w:divBdr>
            </w:div>
            <w:div w:id="2063946150">
              <w:marLeft w:val="0"/>
              <w:marRight w:val="0"/>
              <w:marTop w:val="0"/>
              <w:marBottom w:val="0"/>
              <w:divBdr>
                <w:top w:val="none" w:sz="0" w:space="0" w:color="auto"/>
                <w:left w:val="none" w:sz="0" w:space="0" w:color="auto"/>
                <w:bottom w:val="none" w:sz="0" w:space="0" w:color="auto"/>
                <w:right w:val="none" w:sz="0" w:space="0" w:color="auto"/>
              </w:divBdr>
            </w:div>
            <w:div w:id="2063946151">
              <w:marLeft w:val="0"/>
              <w:marRight w:val="0"/>
              <w:marTop w:val="0"/>
              <w:marBottom w:val="0"/>
              <w:divBdr>
                <w:top w:val="none" w:sz="0" w:space="0" w:color="auto"/>
                <w:left w:val="none" w:sz="0" w:space="0" w:color="auto"/>
                <w:bottom w:val="none" w:sz="0" w:space="0" w:color="auto"/>
                <w:right w:val="none" w:sz="0" w:space="0" w:color="auto"/>
              </w:divBdr>
            </w:div>
            <w:div w:id="2063946152">
              <w:marLeft w:val="0"/>
              <w:marRight w:val="0"/>
              <w:marTop w:val="0"/>
              <w:marBottom w:val="0"/>
              <w:divBdr>
                <w:top w:val="none" w:sz="0" w:space="0" w:color="auto"/>
                <w:left w:val="none" w:sz="0" w:space="0" w:color="auto"/>
                <w:bottom w:val="none" w:sz="0" w:space="0" w:color="auto"/>
                <w:right w:val="none" w:sz="0" w:space="0" w:color="auto"/>
              </w:divBdr>
            </w:div>
            <w:div w:id="2063946153">
              <w:marLeft w:val="0"/>
              <w:marRight w:val="0"/>
              <w:marTop w:val="0"/>
              <w:marBottom w:val="0"/>
              <w:divBdr>
                <w:top w:val="none" w:sz="0" w:space="0" w:color="auto"/>
                <w:left w:val="none" w:sz="0" w:space="0" w:color="auto"/>
                <w:bottom w:val="none" w:sz="0" w:space="0" w:color="auto"/>
                <w:right w:val="none" w:sz="0" w:space="0" w:color="auto"/>
              </w:divBdr>
            </w:div>
            <w:div w:id="2063946156">
              <w:marLeft w:val="0"/>
              <w:marRight w:val="0"/>
              <w:marTop w:val="0"/>
              <w:marBottom w:val="0"/>
              <w:divBdr>
                <w:top w:val="none" w:sz="0" w:space="0" w:color="auto"/>
                <w:left w:val="none" w:sz="0" w:space="0" w:color="auto"/>
                <w:bottom w:val="none" w:sz="0" w:space="0" w:color="auto"/>
                <w:right w:val="none" w:sz="0" w:space="0" w:color="auto"/>
              </w:divBdr>
            </w:div>
            <w:div w:id="2063946157">
              <w:marLeft w:val="0"/>
              <w:marRight w:val="0"/>
              <w:marTop w:val="0"/>
              <w:marBottom w:val="0"/>
              <w:divBdr>
                <w:top w:val="none" w:sz="0" w:space="0" w:color="auto"/>
                <w:left w:val="none" w:sz="0" w:space="0" w:color="auto"/>
                <w:bottom w:val="none" w:sz="0" w:space="0" w:color="auto"/>
                <w:right w:val="none" w:sz="0" w:space="0" w:color="auto"/>
              </w:divBdr>
            </w:div>
            <w:div w:id="2063946158">
              <w:marLeft w:val="0"/>
              <w:marRight w:val="0"/>
              <w:marTop w:val="0"/>
              <w:marBottom w:val="0"/>
              <w:divBdr>
                <w:top w:val="none" w:sz="0" w:space="0" w:color="auto"/>
                <w:left w:val="none" w:sz="0" w:space="0" w:color="auto"/>
                <w:bottom w:val="none" w:sz="0" w:space="0" w:color="auto"/>
                <w:right w:val="none" w:sz="0" w:space="0" w:color="auto"/>
              </w:divBdr>
            </w:div>
            <w:div w:id="2063946159">
              <w:marLeft w:val="0"/>
              <w:marRight w:val="0"/>
              <w:marTop w:val="0"/>
              <w:marBottom w:val="0"/>
              <w:divBdr>
                <w:top w:val="none" w:sz="0" w:space="0" w:color="auto"/>
                <w:left w:val="none" w:sz="0" w:space="0" w:color="auto"/>
                <w:bottom w:val="none" w:sz="0" w:space="0" w:color="auto"/>
                <w:right w:val="none" w:sz="0" w:space="0" w:color="auto"/>
              </w:divBdr>
            </w:div>
            <w:div w:id="2063946160">
              <w:marLeft w:val="0"/>
              <w:marRight w:val="0"/>
              <w:marTop w:val="0"/>
              <w:marBottom w:val="0"/>
              <w:divBdr>
                <w:top w:val="none" w:sz="0" w:space="0" w:color="auto"/>
                <w:left w:val="none" w:sz="0" w:space="0" w:color="auto"/>
                <w:bottom w:val="none" w:sz="0" w:space="0" w:color="auto"/>
                <w:right w:val="none" w:sz="0" w:space="0" w:color="auto"/>
              </w:divBdr>
            </w:div>
            <w:div w:id="2063946161">
              <w:marLeft w:val="0"/>
              <w:marRight w:val="0"/>
              <w:marTop w:val="0"/>
              <w:marBottom w:val="0"/>
              <w:divBdr>
                <w:top w:val="none" w:sz="0" w:space="0" w:color="auto"/>
                <w:left w:val="none" w:sz="0" w:space="0" w:color="auto"/>
                <w:bottom w:val="none" w:sz="0" w:space="0" w:color="auto"/>
                <w:right w:val="none" w:sz="0" w:space="0" w:color="auto"/>
              </w:divBdr>
            </w:div>
            <w:div w:id="2063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6145">
      <w:marLeft w:val="0"/>
      <w:marRight w:val="0"/>
      <w:marTop w:val="0"/>
      <w:marBottom w:val="0"/>
      <w:divBdr>
        <w:top w:val="none" w:sz="0" w:space="0" w:color="auto"/>
        <w:left w:val="none" w:sz="0" w:space="0" w:color="auto"/>
        <w:bottom w:val="none" w:sz="0" w:space="0" w:color="auto"/>
        <w:right w:val="none" w:sz="0" w:space="0" w:color="auto"/>
      </w:divBdr>
    </w:div>
    <w:div w:id="2063946155">
      <w:marLeft w:val="0"/>
      <w:marRight w:val="0"/>
      <w:marTop w:val="0"/>
      <w:marBottom w:val="0"/>
      <w:divBdr>
        <w:top w:val="none" w:sz="0" w:space="0" w:color="auto"/>
        <w:left w:val="none" w:sz="0" w:space="0" w:color="auto"/>
        <w:bottom w:val="none" w:sz="0" w:space="0" w:color="auto"/>
        <w:right w:val="none" w:sz="0" w:space="0" w:color="auto"/>
      </w:divBdr>
    </w:div>
    <w:div w:id="2063946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mateinstitute.org" TargetMode="External"/><Relationship Id="rId11" Type="http://schemas.openxmlformats.org/officeDocument/2006/relationships/hyperlink" Target="https://www.mountalexander.vic.gov.au/Files/Planning/final_Rural_Land_Study_-_Jan_2014.pdf"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dc:creator>
  <cp:lastModifiedBy>bernard slattery</cp:lastModifiedBy>
  <cp:revision>2</cp:revision>
  <cp:lastPrinted>2015-09-09T06:57:00Z</cp:lastPrinted>
  <dcterms:created xsi:type="dcterms:W3CDTF">2015-09-27T06:31:00Z</dcterms:created>
  <dcterms:modified xsi:type="dcterms:W3CDTF">2015-09-27T06:31:00Z</dcterms:modified>
</cp:coreProperties>
</file>